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BB68C1"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Caterpillar, Inc. Strategy, Accounting, and Financial Analysis</w:t>
      </w:r>
    </w:p>
    <w:p w14:paraId="68AE7D8A"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proofErr w:type="spellStart"/>
      <w:r w:rsidRPr="003F6350">
        <w:rPr>
          <w:rFonts w:ascii="Arial" w:eastAsia="Times New Roman" w:hAnsi="Arial" w:cs="Times New Roman"/>
          <w:color w:val="000000"/>
          <w:sz w:val="24"/>
          <w:szCs w:val="24"/>
        </w:rPr>
        <w:t>Raena</w:t>
      </w:r>
      <w:proofErr w:type="spellEnd"/>
      <w:r w:rsidRPr="003F6350">
        <w:rPr>
          <w:rFonts w:ascii="Arial" w:eastAsia="Times New Roman" w:hAnsi="Arial" w:cs="Times New Roman"/>
          <w:color w:val="000000"/>
          <w:sz w:val="24"/>
          <w:szCs w:val="24"/>
        </w:rPr>
        <w:t xml:space="preserve"> Agustin, Randy Duckett, Phillip Harris, Abigail Hewett, Briana Richardson</w:t>
      </w:r>
    </w:p>
    <w:p w14:paraId="091317A3"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Brandman University</w:t>
      </w:r>
    </w:p>
    <w:p w14:paraId="3C7E8F66"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ACCU 360-OL2</w:t>
      </w:r>
    </w:p>
    <w:p w14:paraId="5E5004F5"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xml:space="preserve">Jessi </w:t>
      </w:r>
      <w:proofErr w:type="spellStart"/>
      <w:r w:rsidRPr="003F6350">
        <w:rPr>
          <w:rFonts w:ascii="Arial" w:eastAsia="Times New Roman" w:hAnsi="Arial" w:cs="Times New Roman"/>
          <w:color w:val="000000"/>
          <w:sz w:val="24"/>
          <w:szCs w:val="24"/>
        </w:rPr>
        <w:t>Palvia</w:t>
      </w:r>
      <w:proofErr w:type="spellEnd"/>
    </w:p>
    <w:p w14:paraId="3EDB2117" w14:textId="77777777" w:rsidR="003F6350" w:rsidRPr="003F6350" w:rsidRDefault="003F6350" w:rsidP="003F6350">
      <w:pPr>
        <w:shd w:val="clear" w:color="auto" w:fill="FFFFFF"/>
        <w:spacing w:after="240" w:line="390" w:lineRule="atLeast"/>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19F914E6" w14:textId="52218B84" w:rsidR="003F6350" w:rsidRPr="003F6350" w:rsidRDefault="003F6350" w:rsidP="003F6350">
      <w:pPr>
        <w:shd w:val="clear" w:color="auto" w:fill="FFFFFF"/>
        <w:spacing w:after="24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03A36C7D"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Caterpillar Incorporated Strategy, Accounting, And Financial Analysis</w:t>
      </w:r>
    </w:p>
    <w:p w14:paraId="2F859BFA"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 </w:t>
      </w:r>
    </w:p>
    <w:p w14:paraId="33BD91E0"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Introduction</w:t>
      </w:r>
    </w:p>
    <w:p w14:paraId="0A91FFDE"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 </w:t>
      </w:r>
    </w:p>
    <w:p w14:paraId="1E1191B0"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Caterpillar Background, Markets, Products and Lines of Business</w:t>
      </w:r>
    </w:p>
    <w:p w14:paraId="230EBC98" w14:textId="77777777" w:rsidR="003F6350" w:rsidRPr="003F6350" w:rsidRDefault="003F6350" w:rsidP="003F6350">
      <w:pPr>
        <w:shd w:val="clear" w:color="auto" w:fill="FFFFFF"/>
        <w:spacing w:after="0" w:line="240" w:lineRule="auto"/>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[edit: shift instruction text down below background] [Randy] 7-17 5:34 EST</w:t>
      </w:r>
    </w:p>
    <w:p w14:paraId="0765DAC7"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Caterpillar Incorporated was founded in 1925 with roots in helping customers build a better world – literally.  It is the world’s largest manufacturer of “construction and mining equipment, diesel and natural gas engines, industrial gas turbines and diesel-electric locomotives” (Caterpillar, Inc. 2020).  With such a diverse construction and industrial array of products it is responsible from everything to the manufacture of trains required to move logistical supplies (such as dangerous chemicals like toluene that cannot be readily shipped by aviation or traditional trucking fleets).  Their mining equipment powers modern mining allowing for the extraction and processing of valuable commodities such as aluminum, lithium, and gold used in consumer electronics.  And their construction equipment is behind some of the world’s tallest skyscrapers to small business land grading equipment.  Caterpillar “principally operates through three primary segments – Construction Industries, Resource Industries and Energy &amp; Transportation – and provides financing and related services through its Financial Products segment” (2020).</w:t>
      </w:r>
    </w:p>
    <w:p w14:paraId="6986C9AD" w14:textId="77777777" w:rsidR="003F6350" w:rsidRPr="003F6350" w:rsidRDefault="003F6350" w:rsidP="003F6350">
      <w:pPr>
        <w:shd w:val="clear" w:color="auto" w:fill="FFFFFF"/>
        <w:spacing w:after="24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72F3D354" w14:textId="77777777" w:rsidR="003F6350" w:rsidRPr="003F6350" w:rsidRDefault="003F6350" w:rsidP="003F6350">
      <w:pPr>
        <w:shd w:val="clear" w:color="auto" w:fill="FFFFFF"/>
        <w:spacing w:after="0" w:line="240" w:lineRule="auto"/>
        <w:rPr>
          <w:rFonts w:ascii="Arial" w:eastAsia="Times New Roman" w:hAnsi="Arial" w:cs="Times New Roman"/>
          <w:color w:val="000000"/>
          <w:sz w:val="24"/>
          <w:szCs w:val="24"/>
        </w:rPr>
      </w:pPr>
      <w:hyperlink r:id="rId4" w:history="1">
        <w:r w:rsidRPr="003F6350">
          <w:rPr>
            <w:rFonts w:ascii="inherit" w:eastAsia="Times New Roman" w:hAnsi="inherit" w:cs="Times New Roman"/>
            <w:color w:val="1874A4"/>
            <w:sz w:val="20"/>
            <w:szCs w:val="20"/>
            <w:u w:val="single"/>
            <w:bdr w:val="none" w:sz="0" w:space="0" w:color="auto" w:frame="1"/>
          </w:rPr>
          <w:t>https://www.caterpillar.com/en/company.html</w:t>
        </w:r>
      </w:hyperlink>
    </w:p>
    <w:p w14:paraId="0EFF236C" w14:textId="77777777" w:rsidR="003F6350" w:rsidRPr="003F6350" w:rsidRDefault="003F6350" w:rsidP="003F6350">
      <w:pPr>
        <w:shd w:val="clear" w:color="auto" w:fill="FFFFFF"/>
        <w:spacing w:after="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0"/>
          <w:szCs w:val="20"/>
          <w:bdr w:val="none" w:sz="0" w:space="0" w:color="auto" w:frame="1"/>
        </w:rPr>
        <w:t> [+add] [Randy] Company strategy and Profit Sustainability 7-19-20 / 6:30 EST</w:t>
      </w:r>
    </w:p>
    <w:p w14:paraId="6CFE9AE8"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FF0000"/>
          <w:sz w:val="20"/>
          <w:szCs w:val="20"/>
          <w:bdr w:val="none" w:sz="0" w:space="0" w:color="auto" w:frame="1"/>
        </w:rPr>
        <w:t>[Briefly describe the company’s industry, markets, products, and specific lines of business</w:t>
      </w:r>
      <w:r w:rsidRPr="003F6350">
        <w:rPr>
          <w:rFonts w:ascii="Arial" w:eastAsia="Times New Roman" w:hAnsi="Arial" w:cs="Times New Roman"/>
          <w:color w:val="000000"/>
          <w:sz w:val="24"/>
          <w:szCs w:val="24"/>
        </w:rPr>
        <w:t>.</w:t>
      </w:r>
      <w:r w:rsidRPr="003F6350">
        <w:rPr>
          <w:rFonts w:ascii="inherit" w:eastAsia="Times New Roman" w:hAnsi="inherit" w:cs="Times New Roman"/>
          <w:color w:val="000000"/>
          <w:sz w:val="20"/>
          <w:szCs w:val="20"/>
          <w:bdr w:val="none" w:sz="0" w:space="0" w:color="auto" w:frame="1"/>
        </w:rPr>
        <w:t> </w:t>
      </w:r>
      <w:r w:rsidRPr="003F6350">
        <w:rPr>
          <w:rFonts w:ascii="inherit" w:eastAsia="Times New Roman" w:hAnsi="inherit" w:cs="Times New Roman"/>
          <w:color w:val="FF0000"/>
          <w:sz w:val="20"/>
          <w:szCs w:val="20"/>
          <w:bdr w:val="none" w:sz="0" w:space="0" w:color="auto" w:frame="1"/>
        </w:rPr>
        <w:t>Discuss its strategy for success and, most importantly, the sustainability of profits generated by the strategy.  Refer especially to business description and risk factors of your company’s most recent 10-K (MD &amp; A Analysis).  You may also use information from the company website.]</w:t>
      </w:r>
    </w:p>
    <w:p w14:paraId="7E89AAB7"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Caterpillar Strategy and Profit Sustainability</w:t>
      </w:r>
    </w:p>
    <w:p w14:paraId="0267392D"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 xml:space="preserve">Interesting topics presented by Management’s Discussion and Analysis include a reference to 10-K filing section 1A. Risk Factors.  According to filings to the Securities and Exchange Commission, risk factors “Our results of operations are materially affected by economic conditions globally and regionally and in the </w:t>
      </w:r>
      <w:r w:rsidRPr="003F6350">
        <w:rPr>
          <w:rFonts w:ascii="inherit" w:eastAsia="Times New Roman" w:hAnsi="inherit" w:cs="Times New Roman"/>
          <w:color w:val="000000"/>
          <w:sz w:val="20"/>
          <w:szCs w:val="20"/>
          <w:bdr w:val="none" w:sz="0" w:space="0" w:color="auto" w:frame="1"/>
        </w:rPr>
        <w:lastRenderedPageBreak/>
        <w:t>particular industries we serve.  The demand for our products and services tends to be cyclical and can be significantly reduced in periods of economic weakness characterized by lower levels of government and business investment, lower levels of business confidence, lower corporate earnings, high real interest rates, lower credit activity or tighter credit conditions, perceived or actual industry overcapacity, higher unemployment and lower consumer spending. A prolonged period of economic weakness may also result in increased expenses due to higher allowances for doubtful accounts and potential goodwill and asset impairment charges.  Economic conditions vary across regions and countries, and demand for our products and services generally increases in those regions and countries experiencing economic growth and investment.  Slower economic growth or a change in the global mix of regions and countries experiencing economic growth and investment could have an adverse effect on our business, results of operations and financial condition” (SEC, p.9, 2018).  Essentially, as a purveyor of goods to the transportation and construction industries Caterpillar is always at risk during significant periods of economic contraction and is vulnerable additionally to external factors such as the COVID-19 pandemic.  It is not surprising that in cautionary statements Caterpillar acknowledges the demand for their products is cyclical as economics work in a continual cycle of boom and bust.  Additionally, as a heavy utilizer of raw materials, Caterpillar cautions it is susceptible to global and regional economic conditions including “</w:t>
      </w:r>
      <w:r w:rsidRPr="003F6350">
        <w:rPr>
          <w:rFonts w:ascii="Arial" w:eastAsia="Times New Roman" w:hAnsi="Arial" w:cs="Times New Roman"/>
          <w:color w:val="000000"/>
          <w:sz w:val="24"/>
          <w:szCs w:val="24"/>
        </w:rPr>
        <w:t>commodity price changes, material price increases, fluctuations in demand for our products, significant disruptions to our supply chains or significant shortages of material may adversely impact our financial results or our ability to meet commitments to customers” (SEC, p. 26, 2019).  They are especially vulnerable to supply disruptions and shortages of steel as a raw material in the construction of their equipment.</w:t>
      </w:r>
    </w:p>
    <w:p w14:paraId="4D092F37"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 </w:t>
      </w:r>
    </w:p>
    <w:p w14:paraId="74652FD7"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Management Discussion and Analysis reveals the following information regarding their sustainability of profits:</w:t>
      </w:r>
    </w:p>
    <w:p w14:paraId="68E93A4C"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566E64BA"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Sales and revenues in 2019 were $53.800 billion, down 2 percent from 2018. Sales declined in Energy &amp; Transportation and Construction Industries, while Resource Industries was about flat</w:t>
      </w:r>
    </w:p>
    <w:p w14:paraId="641B1BB8"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Operating profit as a percent of sales and revenues was 15.4 percent in 2019, compared with 15.2 percent in 2018</w:t>
      </w:r>
      <w:proofErr w:type="gramStart"/>
      <w:r w:rsidRPr="003F6350">
        <w:rPr>
          <w:rFonts w:ascii="inherit" w:eastAsia="Times New Roman" w:hAnsi="inherit" w:cs="Arial"/>
          <w:color w:val="000000"/>
          <w:sz w:val="20"/>
          <w:szCs w:val="20"/>
          <w:bdr w:val="none" w:sz="0" w:space="0" w:color="auto" w:frame="1"/>
        </w:rPr>
        <w:t>. .</w:t>
      </w:r>
      <w:proofErr w:type="gramEnd"/>
    </w:p>
    <w:p w14:paraId="7F034E1D"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Profit was $10.74 per share for 2019, and excluding the items in the table below, adjusted profit per share was $11.06. For 2018 profit was $10.26 per share, and excluding the items in the table below, adjusted profit per share was $11.22 (SEC, p. 26, 2019).</w:t>
      </w:r>
    </w:p>
    <w:p w14:paraId="3CD89A6F"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5CA95D61"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In terms of Caterpillars strategy for success it is a multifaceted approach centered on the following key metrics: the “</w:t>
      </w:r>
      <w:r w:rsidRPr="003F6350">
        <w:rPr>
          <w:rFonts w:ascii="Arial" w:eastAsia="Times New Roman" w:hAnsi="Arial" w:cs="Arial"/>
          <w:color w:val="000000"/>
          <w:sz w:val="24"/>
          <w:szCs w:val="24"/>
        </w:rPr>
        <w:t>ability to develop, produce and market quality products that meet our customers’ needs” (SEC, p. 11, 2019), acquisitions, joint ventures or divestitures, manage union disputes in a mutually beneficial way, respond to the unexpected in ways that allow the company to overcome unforeseeable challenges, and weather changes to the financial market which impact interest rates, borrowing, and credit ratings.  Additionally, in operating and maintaining position as the largest manufacturer of construction equipment in the world, Caterpillar must be prepared to handle “a wide-range of trade and anti-corruption laws and regulations” affecting its global operations (SEC, p. 16, 2019).  Ultimately, as long as there is a need to build new things, pave new roads, and transport raw materials, Caterpillar has a viable strategy for success that at times includes layoffs in non-union states such as Tennessee as well as restructuring debt and relying upon significant cash reserves while producing world-class products capable of meeting the construction and engineering needs of modern society.</w:t>
      </w:r>
    </w:p>
    <w:p w14:paraId="68702FE6" w14:textId="77777777" w:rsidR="003F6350" w:rsidRPr="003F6350" w:rsidRDefault="003F6350" w:rsidP="003F6350">
      <w:pPr>
        <w:shd w:val="clear" w:color="auto" w:fill="FFFFFF"/>
        <w:spacing w:after="0" w:line="240" w:lineRule="auto"/>
        <w:jc w:val="center"/>
        <w:rPr>
          <w:rFonts w:ascii="Arial" w:eastAsia="Times New Roman" w:hAnsi="Arial" w:cs="Arial"/>
          <w:color w:val="000000"/>
          <w:sz w:val="24"/>
          <w:szCs w:val="24"/>
        </w:rPr>
      </w:pPr>
      <w:r w:rsidRPr="003F6350">
        <w:rPr>
          <w:rFonts w:ascii="inherit" w:eastAsia="Times New Roman" w:hAnsi="inherit" w:cs="Arial"/>
          <w:b/>
          <w:bCs/>
          <w:color w:val="000000"/>
          <w:sz w:val="20"/>
          <w:szCs w:val="20"/>
          <w:bdr w:val="none" w:sz="0" w:space="0" w:color="auto" w:frame="1"/>
        </w:rPr>
        <w:t>Financial Analysis Techniques- (Phillip)</w:t>
      </w:r>
    </w:p>
    <w:p w14:paraId="32EA665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5650500"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lastRenderedPageBreak/>
        <w:t>            Various tools and techniques are used by analysts to understand and ascertain information from financial statements. Using these tools and analysts can affirm a company’s financial standing and the possible performance the company should expect. The three primary tools we will be talking about is the current ratio, Cash flow liquidity ratio and inventory turnover. The first is a ratio known as a current ratio.</w:t>
      </w:r>
    </w:p>
    <w:p w14:paraId="6F7DB254"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42F3ED8"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Current Ratio</w:t>
      </w:r>
    </w:p>
    <w:p w14:paraId="638AC7E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5E239DD1"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“The current ratio is a commonly used measure of short-term solvency, the ability of a firm to meet its debt requirements as they come due.” (Fraser &amp; Ormiston, 2010 p. 211)</w:t>
      </w:r>
    </w:p>
    <w:p w14:paraId="176A3DE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1D5C51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The formula is created as follows- Current Assets/ Current liabilities.</w:t>
      </w:r>
    </w:p>
    <w:p w14:paraId="60F7256C"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04639C2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Like many ratios, an analyst will need multiple years of current ratios to understand the long-term effects of the formula as well as the current ratio of competitors to create a baseline for the individual company and the industry as a whole. By doing this an analyst can under the liquidity of a company.  Unfortunately, the current ratio does have drawbacks. Because the ratio relies on liquid assets and sets dates it is hard to look at long term solvency with this formula. Just because the company has a high current ratio does not mean they are completely solvent. Take Hertz car rentals, for instance, they are solvent, but their inventory depreciates in value aggressively compared to their loans which stick around easier.</w:t>
      </w:r>
    </w:p>
    <w:p w14:paraId="7C6AE1B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2B62A10C"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Cash Flow Liquidity Ratio</w:t>
      </w:r>
    </w:p>
    <w:p w14:paraId="01C9023C"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1767661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b/>
          <w:bCs/>
          <w:color w:val="000000"/>
          <w:sz w:val="24"/>
          <w:szCs w:val="24"/>
        </w:rPr>
        <w:t>            </w:t>
      </w:r>
      <w:r w:rsidRPr="003F6350">
        <w:rPr>
          <w:rFonts w:ascii="Arial" w:eastAsia="Times New Roman" w:hAnsi="Arial" w:cs="Arial"/>
          <w:color w:val="000000"/>
          <w:sz w:val="24"/>
          <w:szCs w:val="24"/>
        </w:rPr>
        <w:t>Cash flow liquidity ratio is like the current ratio but focuses strictly on cash flow. If the asset is not able to immediately transition to pay off debt, then it is not considered in the cash flow category. (Fraser &amp; Ormiston, 2010 p. 214)</w:t>
      </w:r>
    </w:p>
    <w:p w14:paraId="74C4D70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7A0162"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The cash flow liquidity ratio is calculated with this formula-</w:t>
      </w:r>
    </w:p>
    <w:p w14:paraId="6993DE5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8C5DCB0"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Cash+ Cash Equivalents/ Current Liabilities</w:t>
      </w:r>
    </w:p>
    <w:p w14:paraId="09B03C6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90A2DE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Over time both of the formulas above have decreased as companies have taken on more and more debt instead of keeping liquid cash and assets, this is to reduce taxes on assets and to capitalize historically low interest rates that make debt an easy liability to manage.</w:t>
      </w:r>
    </w:p>
    <w:p w14:paraId="26900C1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F2D0DB8"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Inventory turnover ratio</w:t>
      </w:r>
    </w:p>
    <w:p w14:paraId="7E74489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E12000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“The accounts receivable, inventory, and payable turnover ratios measure how many times, on average, accounts receivable are collected in cash, inventory is sold, and payables are paid during the year.” (Fraser &amp; Ormiston, 2010 p. 217) The formula is written as follows-</w:t>
      </w:r>
    </w:p>
    <w:p w14:paraId="2398F74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52F845"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color w:val="000000"/>
          <w:sz w:val="24"/>
          <w:szCs w:val="24"/>
        </w:rPr>
        <w:t>Cost of goods sold/inventory</w:t>
      </w:r>
    </w:p>
    <w:p w14:paraId="100B3F9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1A944DF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This formula unlike the other formulas is used to gauge performance instead of solvency. An ideal ratio is one that is high especially with long term assets like heavy machinery. This means it requires relatively little investment to make significant sales. Like the current and solvency ratios. The turnover ratio is restricted by the quality and timeliness of the source numbers as well as scope. Multiple ratios are required as well as averages from the industry in order to gauge productivity.</w:t>
      </w:r>
    </w:p>
    <w:p w14:paraId="4680C896"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Industry Comparison</w:t>
      </w:r>
    </w:p>
    <w:p w14:paraId="559C0EFD"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tbl>
      <w:tblPr>
        <w:tblW w:w="5220" w:type="dxa"/>
        <w:tblInd w:w="2065" w:type="dxa"/>
        <w:shd w:val="clear" w:color="auto" w:fill="FFFFFF"/>
        <w:tblCellMar>
          <w:left w:w="0" w:type="dxa"/>
          <w:right w:w="0" w:type="dxa"/>
        </w:tblCellMar>
        <w:tblLook w:val="04A0" w:firstRow="1" w:lastRow="0" w:firstColumn="1" w:lastColumn="0" w:noHBand="0" w:noVBand="1"/>
      </w:tblPr>
      <w:tblGrid>
        <w:gridCol w:w="1241"/>
        <w:gridCol w:w="2087"/>
        <w:gridCol w:w="1892"/>
      </w:tblGrid>
      <w:tr w:rsidR="003F6350" w:rsidRPr="003F6350" w14:paraId="66C4FDF8" w14:textId="77777777" w:rsidTr="003F6350">
        <w:trPr>
          <w:trHeight w:val="300"/>
        </w:trPr>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F7DA5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Annual</w:t>
            </w:r>
          </w:p>
        </w:tc>
        <w:tc>
          <w:tcPr>
            <w:tcW w:w="208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5806B6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CATERPILLAR Inc.</w:t>
            </w:r>
          </w:p>
        </w:tc>
        <w:tc>
          <w:tcPr>
            <w:tcW w:w="189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AA493C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3531 - Construction Machinery and Equipment  </w:t>
            </w:r>
          </w:p>
        </w:tc>
      </w:tr>
      <w:tr w:rsidR="003F6350" w:rsidRPr="003F6350" w14:paraId="18F4B18B"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500F6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06BA30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594D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w:t>
            </w:r>
          </w:p>
        </w:tc>
      </w:tr>
      <w:tr w:rsidR="003F6350" w:rsidRPr="003F6350" w14:paraId="6F4CD661"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4BE48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Current Ratio</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8C0B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1.47</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97A2C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1.97</w:t>
            </w:r>
          </w:p>
        </w:tc>
      </w:tr>
      <w:tr w:rsidR="003F6350" w:rsidRPr="003F6350" w14:paraId="7633CC69"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C92D8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Debt to Equity Ratio</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DE3F88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4.36</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C2D36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1.04</w:t>
            </w:r>
          </w:p>
        </w:tc>
      </w:tr>
      <w:tr w:rsidR="003F6350" w:rsidRPr="003F6350" w14:paraId="5C909E62"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35BD6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lastRenderedPageBreak/>
              <w:t>Return on Assets</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AECEA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7.8%</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3A16F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5.8%</w:t>
            </w:r>
          </w:p>
        </w:tc>
      </w:tr>
      <w:tr w:rsidR="003F6350" w:rsidRPr="003F6350" w14:paraId="5335F67C"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18F18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Return on Equity</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F7101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42.4%</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318E8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7.2%</w:t>
            </w:r>
          </w:p>
        </w:tc>
      </w:tr>
      <w:tr w:rsidR="003F6350" w:rsidRPr="003F6350" w14:paraId="44169A86"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3DCF4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Inventory Turnover</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45EDF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114 Days</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C83E9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 Days</w:t>
            </w:r>
          </w:p>
        </w:tc>
      </w:tr>
      <w:tr w:rsidR="003F6350" w:rsidRPr="003F6350" w14:paraId="57B1A691"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32D4D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Asset Turnover</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1BB42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532</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8DB7F5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128 Days</w:t>
            </w:r>
          </w:p>
        </w:tc>
      </w:tr>
    </w:tbl>
    <w:p w14:paraId="554FE0B7"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46CB6B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09AAED24"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D584362"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Caterpillar is almost synonymous with the heavy equipment industry. With their iconic yellow machines and dark lettering, the marketing that the caterpillar has achieved is a testament to the almost 100-year-old company. Unfortunately, the financial ratios of Caterpillar Inc. </w:t>
      </w:r>
      <w:proofErr w:type="gramStart"/>
      <w:r w:rsidRPr="003F6350">
        <w:rPr>
          <w:rFonts w:ascii="Arial" w:eastAsia="Times New Roman" w:hAnsi="Arial" w:cs="Arial"/>
          <w:color w:val="000000"/>
          <w:sz w:val="24"/>
          <w:szCs w:val="24"/>
        </w:rPr>
        <w:t>does</w:t>
      </w:r>
      <w:proofErr w:type="gramEnd"/>
      <w:r w:rsidRPr="003F6350">
        <w:rPr>
          <w:rFonts w:ascii="Arial" w:eastAsia="Times New Roman" w:hAnsi="Arial" w:cs="Arial"/>
          <w:color w:val="000000"/>
          <w:sz w:val="24"/>
          <w:szCs w:val="24"/>
        </w:rPr>
        <w:t xml:space="preserve"> not always rise to the same standards as their branding. With over double the liabilities as their assets, Caterpillar is in a shaky place when considering their current ratio. Yet this appears to be an industry standard. The Debt to Equity ratio also appears rough but considering the return on equity ratio for Caterpillar is far outpacing the industry average.  The only other concern I would have for Caterpillar is the length of time it takes to sell inventory. With such a low turnover heading into a period of further retraction, as an investor, I would be concerned for their ability to create profits while also servicing their lines of credit.</w:t>
      </w:r>
    </w:p>
    <w:p w14:paraId="3E1E077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b/>
          <w:bCs/>
          <w:color w:val="000000"/>
          <w:sz w:val="24"/>
          <w:szCs w:val="24"/>
        </w:rPr>
        <w:t xml:space="preserve">Use the three most recent completed years for which financial statements are available. </w:t>
      </w:r>
      <w:proofErr w:type="spellStart"/>
      <w:r w:rsidRPr="003F6350">
        <w:rPr>
          <w:rFonts w:ascii="Arial" w:eastAsia="Times New Roman" w:hAnsi="Arial" w:cs="Arial"/>
          <w:b/>
          <w:bCs/>
          <w:color w:val="000000"/>
          <w:sz w:val="24"/>
          <w:szCs w:val="24"/>
        </w:rPr>
        <w:t>Raena</w:t>
      </w:r>
      <w:proofErr w:type="spellEnd"/>
      <w:r w:rsidRPr="003F6350">
        <w:rPr>
          <w:rFonts w:ascii="Arial" w:eastAsia="Times New Roman" w:hAnsi="Arial" w:cs="Arial"/>
          <w:b/>
          <w:bCs/>
          <w:color w:val="000000"/>
          <w:sz w:val="24"/>
          <w:szCs w:val="24"/>
        </w:rPr>
        <w:t xml:space="preserve"> Agustin</w:t>
      </w:r>
    </w:p>
    <w:tbl>
      <w:tblPr>
        <w:tblW w:w="9345" w:type="dxa"/>
        <w:shd w:val="clear" w:color="auto" w:fill="FFFFFF"/>
        <w:tblCellMar>
          <w:left w:w="0" w:type="dxa"/>
          <w:right w:w="0" w:type="dxa"/>
        </w:tblCellMar>
        <w:tblLook w:val="04A0" w:firstRow="1" w:lastRow="0" w:firstColumn="1" w:lastColumn="0" w:noHBand="0" w:noVBand="1"/>
      </w:tblPr>
      <w:tblGrid>
        <w:gridCol w:w="2335"/>
        <w:gridCol w:w="2336"/>
        <w:gridCol w:w="2337"/>
        <w:gridCol w:w="2337"/>
      </w:tblGrid>
      <w:tr w:rsidR="003F6350" w:rsidRPr="003F6350" w14:paraId="65C3E3DF" w14:textId="77777777" w:rsidTr="003F6350">
        <w:tc>
          <w:tcPr>
            <w:tcW w:w="23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11BD5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 </w:t>
            </w:r>
          </w:p>
        </w:tc>
        <w:tc>
          <w:tcPr>
            <w:tcW w:w="233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099B3A2"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 (1)</w:t>
            </w:r>
          </w:p>
        </w:tc>
        <w:tc>
          <w:tcPr>
            <w:tcW w:w="233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38D1F72"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2018 (2)</w:t>
            </w:r>
          </w:p>
        </w:tc>
        <w:tc>
          <w:tcPr>
            <w:tcW w:w="233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7FC5133"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2017 (3)</w:t>
            </w:r>
          </w:p>
        </w:tc>
      </w:tr>
      <w:tr w:rsidR="003F6350" w:rsidRPr="003F6350" w14:paraId="0487C076"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09D3C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Liquidity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0D629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8CF02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6278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C90A3AF"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EF34D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Current Ratio</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CB5BB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1.47</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89A6F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D7096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1.34</w:t>
            </w:r>
          </w:p>
        </w:tc>
      </w:tr>
      <w:tr w:rsidR="003F6350" w:rsidRPr="003F6350" w14:paraId="2CC89F17"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E466A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Operating Cash Flow</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43456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CB2CE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1.41</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859C4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-0.12</w:t>
            </w:r>
          </w:p>
        </w:tc>
      </w:tr>
      <w:tr w:rsidR="003F6350" w:rsidRPr="003F6350" w14:paraId="1EEEE8B6"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8C0CC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D3C6F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8528A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74911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6054B83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62615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Activity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3DFF0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6EA6D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04198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0A9D457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2D1F0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Asset turnover</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0D319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0.68</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33DE4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E2DF4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0.59</w:t>
            </w:r>
          </w:p>
        </w:tc>
      </w:tr>
      <w:tr w:rsidR="003F6350" w:rsidRPr="003F6350" w14:paraId="20357613"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7EE4C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Receivables turnover</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1BC4D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3.00</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55B536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3.13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9C8F6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2.80</w:t>
            </w:r>
          </w:p>
        </w:tc>
      </w:tr>
      <w:tr w:rsidR="003F6350" w:rsidRPr="003F6350" w14:paraId="321CEE9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FF77B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lastRenderedPageBreak/>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A085E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3D509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48DB9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DBE0AA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F9322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Leverage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05D73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1E12A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BF4B7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D6718DC"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ABE2B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Debt/Capital</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32560E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0.64</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03FA8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ADE64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0.63</w:t>
            </w:r>
          </w:p>
        </w:tc>
      </w:tr>
      <w:tr w:rsidR="003F6350" w:rsidRPr="003F6350" w14:paraId="134A7ABB"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31BA9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Debt/Equity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D0FB4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2.57</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443EA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23D25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2.53</w:t>
            </w:r>
          </w:p>
        </w:tc>
      </w:tr>
      <w:tr w:rsidR="003F6350" w:rsidRPr="003F6350" w14:paraId="3BC13F78"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5300D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543F0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03B4B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39501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08514CB7"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ACA74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Profitability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D9A099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96F962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DFAF3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416D0EE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F8AE6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Profit Margin</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472F1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11.32</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E6230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11.23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DA9AB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1.65</w:t>
            </w:r>
          </w:p>
        </w:tc>
      </w:tr>
      <w:tr w:rsidR="003F6350" w:rsidRPr="003F6350" w14:paraId="020B1843"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E294C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ROE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71973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41.65</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C2F06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43.66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8E381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5.51</w:t>
            </w:r>
          </w:p>
        </w:tc>
      </w:tr>
      <w:tr w:rsidR="003F6350" w:rsidRPr="003F6350" w14:paraId="1D40EBB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AE7B8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C51AC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A0E1B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00F84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A7F003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9EDED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Market</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D78E8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84681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998B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6790801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3931F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P/E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40098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13.79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BA970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12.36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409B3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121.54</w:t>
            </w:r>
          </w:p>
        </w:tc>
      </w:tr>
      <w:tr w:rsidR="003F6350" w:rsidRPr="003F6350" w14:paraId="6CED7C3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8F327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Book value per share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901B4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26.59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87466E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24.46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9BED5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23.03</w:t>
            </w:r>
          </w:p>
        </w:tc>
      </w:tr>
    </w:tbl>
    <w:p w14:paraId="6DC27695"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hyperlink r:id="rId5" w:history="1">
        <w:r w:rsidRPr="003F6350">
          <w:rPr>
            <w:rFonts w:ascii="inherit" w:eastAsia="Times New Roman" w:hAnsi="inherit" w:cs="Arial"/>
            <w:color w:val="1874A4"/>
            <w:sz w:val="20"/>
            <w:szCs w:val="20"/>
            <w:u w:val="single"/>
            <w:bdr w:val="none" w:sz="0" w:space="0" w:color="auto" w:frame="1"/>
          </w:rPr>
          <w:t>https://www.macrotrends.net/stocks/charts/CAT/caterpillar/financial-ratios</w:t>
        </w:r>
      </w:hyperlink>
    </w:p>
    <w:p w14:paraId="3789679F" w14:textId="77777777" w:rsidR="003F6350" w:rsidRDefault="003F6350" w:rsidP="003F6350">
      <w:pPr>
        <w:spacing w:after="0" w:line="240" w:lineRule="auto"/>
        <w:jc w:val="right"/>
        <w:rPr>
          <w:rFonts w:ascii="inherit" w:eastAsia="Times New Roman" w:hAnsi="inherit" w:cs="Arial"/>
          <w:color w:val="333333"/>
          <w:sz w:val="18"/>
          <w:szCs w:val="18"/>
          <w:bdr w:val="none" w:sz="0" w:space="0" w:color="auto" w:frame="1"/>
        </w:rPr>
        <w:sectPr w:rsidR="003F6350">
          <w:pgSz w:w="12240" w:h="15840"/>
          <w:pgMar w:top="1440" w:right="1440" w:bottom="1440" w:left="1440" w:header="720" w:footer="720" w:gutter="0"/>
          <w:cols w:space="720"/>
          <w:docGrid w:linePitch="360"/>
        </w:sectPr>
      </w:pPr>
    </w:p>
    <w:tbl>
      <w:tblPr>
        <w:tblW w:w="13335" w:type="dxa"/>
        <w:tblInd w:w="-360" w:type="dxa"/>
        <w:shd w:val="clear" w:color="auto" w:fill="FFFFFF"/>
        <w:tblCellMar>
          <w:left w:w="0" w:type="dxa"/>
          <w:right w:w="0" w:type="dxa"/>
        </w:tblCellMar>
        <w:tblLook w:val="04A0" w:firstRow="1" w:lastRow="0" w:firstColumn="1" w:lastColumn="0" w:noHBand="0" w:noVBand="1"/>
      </w:tblPr>
      <w:tblGrid>
        <w:gridCol w:w="5850"/>
        <w:gridCol w:w="2070"/>
        <w:gridCol w:w="3555"/>
        <w:gridCol w:w="1860"/>
      </w:tblGrid>
      <w:tr w:rsidR="003F6350" w:rsidRPr="003F6350" w14:paraId="2274FE1E" w14:textId="77777777" w:rsidTr="003F6350">
        <w:trPr>
          <w:tblHeader/>
        </w:trPr>
        <w:tc>
          <w:tcPr>
            <w:tcW w:w="585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584C2C09" w14:textId="0CEE92FB"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lastRenderedPageBreak/>
              <w:t>Fiscal year is January-December. Income Statement</w:t>
            </w:r>
          </w:p>
        </w:tc>
        <w:tc>
          <w:tcPr>
            <w:tcW w:w="207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D42437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2019</w:t>
            </w:r>
          </w:p>
        </w:tc>
        <w:tc>
          <w:tcPr>
            <w:tcW w:w="3555"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223F3A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2018</w:t>
            </w:r>
          </w:p>
        </w:tc>
        <w:tc>
          <w:tcPr>
            <w:tcW w:w="186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6847B84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2017</w:t>
            </w:r>
          </w:p>
        </w:tc>
      </w:tr>
      <w:tr w:rsidR="003F6350" w:rsidRPr="003F6350" w14:paraId="60B33B05" w14:textId="77777777" w:rsidTr="003F6350">
        <w:trPr>
          <w:trHeight w:val="183"/>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45909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Sales/Revenue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C842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53,789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B68B0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54,722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FFA6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45,462</w:t>
            </w:r>
          </w:p>
        </w:tc>
      </w:tr>
      <w:tr w:rsidR="003F6350" w:rsidRPr="003F6350" w14:paraId="711A862F" w14:textId="77777777" w:rsidTr="003F6350">
        <w:trPr>
          <w:trHeight w:val="273"/>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EC0A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86563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-1.70%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96F5B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20.37%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5D6C8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17.97%</w:t>
            </w:r>
          </w:p>
        </w:tc>
      </w:tr>
      <w:tr w:rsidR="003F6350" w:rsidRPr="003F6350" w14:paraId="7C5D4C6C" w14:textId="77777777" w:rsidTr="003F6350">
        <w:trPr>
          <w:trHeight w:val="147"/>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9AA9E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Cost of Goods Sold (COGS) incl. D&amp;A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57565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38,097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B564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38,375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E7EC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32,552</w:t>
            </w:r>
          </w:p>
        </w:tc>
      </w:tr>
      <w:tr w:rsidR="003F6350" w:rsidRPr="003F6350" w14:paraId="2BFD5E2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49BA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excluding D&amp;A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18A766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35,520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ED302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35,609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5DF14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29,674</w:t>
            </w:r>
          </w:p>
        </w:tc>
      </w:tr>
      <w:tr w:rsidR="003F6350" w:rsidRPr="003F6350" w14:paraId="7BE9225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11A43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 &amp; Amortization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D64FC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2,577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BECDF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2,766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F187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2,878</w:t>
            </w:r>
          </w:p>
        </w:tc>
      </w:tr>
      <w:tr w:rsidR="003F6350" w:rsidRPr="003F6350" w14:paraId="2DAF615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D7CE8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1A15C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2,253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C2A19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2,435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BD714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2,555</w:t>
            </w:r>
          </w:p>
        </w:tc>
      </w:tr>
      <w:tr w:rsidR="003F6350" w:rsidRPr="003F6350" w14:paraId="1AB0438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C3661C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Amortization of Intangibles</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D5216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2EE1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7C1EA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323</w:t>
            </w:r>
          </w:p>
        </w:tc>
      </w:tr>
      <w:tr w:rsidR="003F6350" w:rsidRPr="003F6350" w14:paraId="672FA4A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1B9CF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615A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-0.72%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C909C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17.89%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88FB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10.42%</w:t>
            </w:r>
          </w:p>
        </w:tc>
      </w:tr>
      <w:tr w:rsidR="003F6350" w:rsidRPr="003F6350" w14:paraId="024ACA8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9CCB7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96FE0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15,692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49D4F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16,347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20D463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12,910</w:t>
            </w:r>
          </w:p>
        </w:tc>
      </w:tr>
      <w:tr w:rsidR="003F6350" w:rsidRPr="003F6350" w14:paraId="6AF160A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475E5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FB71F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-4.01%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502EA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26.62%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1B43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42.56%</w:t>
            </w:r>
          </w:p>
        </w:tc>
      </w:tr>
      <w:tr w:rsidR="003F6350" w:rsidRPr="003F6350" w14:paraId="69AE78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9168A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Profit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D846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29.17%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1DF6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746E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30C0872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55FA1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SG&amp;A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B797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6,855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49C2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7,328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BA00E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6,841</w:t>
            </w:r>
          </w:p>
        </w:tc>
      </w:tr>
      <w:tr w:rsidR="003F6350" w:rsidRPr="003F6350" w14:paraId="219D1707"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50E1E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Research &amp; Development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B19F4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38274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1,850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B48C4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1,842</w:t>
            </w:r>
          </w:p>
        </w:tc>
      </w:tr>
      <w:tr w:rsidR="003F6350" w:rsidRPr="003F6350" w14:paraId="18CD3FB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892A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SG&amp;A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25E6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5,162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FE6C9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9943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4,999</w:t>
            </w:r>
          </w:p>
        </w:tc>
      </w:tr>
      <w:tr w:rsidR="003F6350" w:rsidRPr="003F6350" w14:paraId="3EFFDEE7"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112AF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A917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-6.45%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F83D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5A79D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3.07%</w:t>
            </w:r>
          </w:p>
        </w:tc>
      </w:tr>
      <w:tr w:rsidR="003F6350" w:rsidRPr="003F6350" w14:paraId="172F537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17228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Operating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9564E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344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4B9D5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E02D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391</w:t>
            </w:r>
          </w:p>
        </w:tc>
      </w:tr>
      <w:tr w:rsidR="003F6350" w:rsidRPr="003F6350" w14:paraId="5FFB84A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DA254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7E48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BC3D3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851EC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5CE36A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F1DB16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Unusual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2B53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34C69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460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B487E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1,145</w:t>
            </w:r>
          </w:p>
        </w:tc>
      </w:tr>
      <w:tr w:rsidR="003F6350" w:rsidRPr="003F6350" w14:paraId="3FDA5B8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12A18A" w14:textId="77777777" w:rsidR="003F6350" w:rsidRPr="003F6350" w:rsidRDefault="003F6350" w:rsidP="003F6350">
            <w:pPr>
              <w:spacing w:after="0" w:line="240" w:lineRule="auto"/>
              <w:jc w:val="right"/>
              <w:rPr>
                <w:rFonts w:ascii="inherit" w:eastAsia="Times New Roman" w:hAnsi="inherit" w:cs="Arial"/>
                <w:color w:val="000000"/>
                <w:sz w:val="20"/>
                <w:szCs w:val="20"/>
              </w:rPr>
            </w:pPr>
            <w:proofErr w:type="spellStart"/>
            <w:proofErr w:type="gramStart"/>
            <w:r w:rsidRPr="003F6350">
              <w:rPr>
                <w:rFonts w:ascii="inherit" w:eastAsia="Times New Roman" w:hAnsi="inherit" w:cs="Arial"/>
                <w:color w:val="000000"/>
                <w:sz w:val="18"/>
                <w:szCs w:val="18"/>
                <w:bdr w:val="none" w:sz="0" w:space="0" w:color="auto" w:frame="1"/>
              </w:rPr>
              <w:t>Non Operating</w:t>
            </w:r>
            <w:proofErr w:type="spellEnd"/>
            <w:proofErr w:type="gramEnd"/>
            <w:r w:rsidRPr="003F6350">
              <w:rPr>
                <w:rFonts w:ascii="inherit" w:eastAsia="Times New Roman" w:hAnsi="inherit" w:cs="Arial"/>
                <w:color w:val="000000"/>
                <w:sz w:val="18"/>
                <w:szCs w:val="18"/>
                <w:bdr w:val="none" w:sz="0" w:space="0" w:color="auto" w:frame="1"/>
              </w:rPr>
              <w:t xml:space="preserve"> Income/Expense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CC304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650B7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753E0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w:t>
            </w:r>
          </w:p>
        </w:tc>
      </w:tr>
      <w:tr w:rsidR="003F6350" w:rsidRPr="003F6350" w14:paraId="6CEB812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F720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Non-Operating Interest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A552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202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66F0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195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2E9A8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122</w:t>
            </w:r>
          </w:p>
        </w:tc>
      </w:tr>
      <w:tr w:rsidR="003F6350" w:rsidRPr="003F6350" w14:paraId="6E2433B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C70AB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F2DC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EFF8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23A9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448F138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DFD2E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Interest Expense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AB04B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3.99%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1E1CD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-23.18%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9992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4.61%</w:t>
            </w:r>
          </w:p>
        </w:tc>
      </w:tr>
      <w:tr w:rsidR="003F6350" w:rsidRPr="003F6350" w14:paraId="74D67B9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EDF82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564B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94E12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8F91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4BC426F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351173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Capitalized</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8F4897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49CCE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46A8B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1741417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169B9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5B672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7,812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918D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7,822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EA65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4,082</w:t>
            </w:r>
          </w:p>
        </w:tc>
      </w:tr>
      <w:tr w:rsidR="003F6350" w:rsidRPr="003F6350" w14:paraId="22A4653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D784CC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26B8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-0.13%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8D4F8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91.62%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3065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2836.69%</w:t>
            </w:r>
          </w:p>
        </w:tc>
      </w:tr>
      <w:tr w:rsidR="003F6350" w:rsidRPr="003F6350" w14:paraId="5192E1B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CC2B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AAC7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14.52%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8BE9BD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6E82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24934D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EB08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AA100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1,746</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35637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348E7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3,339</w:t>
            </w:r>
          </w:p>
        </w:tc>
      </w:tr>
      <w:tr w:rsidR="003F6350" w:rsidRPr="003F6350" w14:paraId="37D79FB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D7D8B0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Domestic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4C55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6E74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708C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1,002</w:t>
            </w:r>
          </w:p>
        </w:tc>
      </w:tr>
      <w:tr w:rsidR="003F6350" w:rsidRPr="003F6350" w14:paraId="0E741BB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617359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Foreign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70340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88DDA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ABA2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1,124</w:t>
            </w:r>
          </w:p>
        </w:tc>
      </w:tr>
      <w:tr w:rsidR="003F6350" w:rsidRPr="003F6350" w14:paraId="309B4D6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5843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Domestic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2CEC4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71487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216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F5F3E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1,230</w:t>
            </w:r>
          </w:p>
        </w:tc>
      </w:tr>
      <w:tr w:rsidR="003F6350" w:rsidRPr="003F6350" w14:paraId="57A6D2B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0F5F3E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Foreign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69B340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277FC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5CE4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w:t>
            </w:r>
          </w:p>
        </w:tc>
      </w:tr>
      <w:tr w:rsidR="003F6350" w:rsidRPr="003F6350" w14:paraId="65AB3E0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EEB58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Equity in Affiliates</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B80B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91FAE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53D1F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w:t>
            </w:r>
          </w:p>
        </w:tc>
      </w:tr>
      <w:tr w:rsidR="003F6350" w:rsidRPr="003F6350" w14:paraId="569648C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77AD6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Consolidated Net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44CD0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7A09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BA994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759</w:t>
            </w:r>
          </w:p>
        </w:tc>
      </w:tr>
      <w:tr w:rsidR="003F6350" w:rsidRPr="003F6350" w14:paraId="60E4D6C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72BEE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Minority 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13729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21268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CF470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w:t>
            </w:r>
          </w:p>
        </w:tc>
      </w:tr>
      <w:tr w:rsidR="003F6350" w:rsidRPr="003F6350" w14:paraId="154B6EE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102DB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B7944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BF97B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2B5A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732B504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EAF1C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4A594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-0.88%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4FC78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715.25%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A6F5A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1225.37%</w:t>
            </w:r>
          </w:p>
        </w:tc>
      </w:tr>
      <w:tr w:rsidR="003F6350" w:rsidRPr="003F6350" w14:paraId="4A59A1A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B28AD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84D0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11.33%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37889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7FDD4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F24C08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9B2C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 xml:space="preserve">Net Income After </w:t>
            </w:r>
            <w:proofErr w:type="spellStart"/>
            <w:r w:rsidRPr="003F6350">
              <w:rPr>
                <w:rFonts w:ascii="inherit" w:eastAsia="Times New Roman" w:hAnsi="inherit" w:cs="Arial"/>
                <w:color w:val="000000"/>
                <w:sz w:val="18"/>
                <w:szCs w:val="18"/>
                <w:bdr w:val="none" w:sz="0" w:space="0" w:color="auto" w:frame="1"/>
              </w:rPr>
              <w:t>Extraordinaries</w:t>
            </w:r>
            <w:proofErr w:type="spellEnd"/>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072A7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CF56D7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74BA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7511CE4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FA11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Available to Common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7FE4E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7E33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8533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48436E9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24890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A909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2DFB7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9402F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6C05546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F75A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597A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C5676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714.29%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1C48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1245.45%</w:t>
            </w:r>
          </w:p>
        </w:tc>
      </w:tr>
      <w:tr w:rsidR="003F6350" w:rsidRPr="003F6350" w14:paraId="05A0B3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83849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Basic Shares Outstanding</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81EC2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4E15A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A0531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592</w:t>
            </w:r>
          </w:p>
        </w:tc>
      </w:tr>
      <w:tr w:rsidR="003F6350" w:rsidRPr="003F6350" w14:paraId="77EEAAC3"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120C7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87E0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C6EA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218B6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5547347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A19F6B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19EE3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D5A9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715.12%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DCF8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1197.21%</w:t>
            </w:r>
          </w:p>
        </w:tc>
      </w:tr>
      <w:tr w:rsidR="003F6350" w:rsidRPr="003F6350" w14:paraId="5726034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B520F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Diluted Shares Outstanding</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BF364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491BCE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098AF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r>
      <w:tr w:rsidR="003F6350" w:rsidRPr="003F6350" w14:paraId="360DA0E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85855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D3A9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11,070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1C283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11,434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14097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8,556</w:t>
            </w:r>
          </w:p>
        </w:tc>
      </w:tr>
      <w:tr w:rsidR="003F6350" w:rsidRPr="003F6350" w14:paraId="134AC30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E234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81269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-3.18%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573EE8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33.64%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9236B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66.20%</w:t>
            </w:r>
          </w:p>
        </w:tc>
      </w:tr>
      <w:tr w:rsidR="003F6350" w:rsidRPr="003F6350" w14:paraId="015D4A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27EF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0CAE4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20.58%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87DB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0900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1419567F"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0DBF7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767D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B33A7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D6A2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bl>
    <w:p w14:paraId="2B18030E" w14:textId="77777777" w:rsidR="003F6350" w:rsidRPr="003F6350" w:rsidRDefault="003F6350" w:rsidP="003F6350">
      <w:pPr>
        <w:spacing w:after="0" w:line="240" w:lineRule="auto"/>
        <w:rPr>
          <w:rFonts w:ascii="Times New Roman" w:eastAsia="Times New Roman" w:hAnsi="Times New Roman" w:cs="Times New Roman"/>
          <w:vanish/>
          <w:sz w:val="24"/>
          <w:szCs w:val="24"/>
        </w:rPr>
      </w:pPr>
    </w:p>
    <w:tbl>
      <w:tblPr>
        <w:tblW w:w="11985" w:type="dxa"/>
        <w:tblInd w:w="990" w:type="dxa"/>
        <w:shd w:val="clear" w:color="auto" w:fill="FFFFFF"/>
        <w:tblCellMar>
          <w:left w:w="0" w:type="dxa"/>
          <w:right w:w="0" w:type="dxa"/>
        </w:tblCellMar>
        <w:tblLook w:val="04A0" w:firstRow="1" w:lastRow="0" w:firstColumn="1" w:lastColumn="0" w:noHBand="0" w:noVBand="1"/>
      </w:tblPr>
      <w:tblGrid>
        <w:gridCol w:w="6972"/>
        <w:gridCol w:w="1473"/>
        <w:gridCol w:w="1680"/>
        <w:gridCol w:w="1860"/>
      </w:tblGrid>
      <w:tr w:rsidR="003F6350" w:rsidRPr="003F6350" w14:paraId="05EE054F" w14:textId="77777777" w:rsidTr="003F6350">
        <w:trPr>
          <w:tblHeader/>
        </w:trPr>
        <w:tc>
          <w:tcPr>
            <w:tcW w:w="4838"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5339FD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Fiscal year is January-December. Income Statement</w:t>
            </w:r>
          </w:p>
        </w:tc>
        <w:tc>
          <w:tcPr>
            <w:tcW w:w="1022"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2BB905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2019</w:t>
            </w:r>
          </w:p>
        </w:tc>
        <w:tc>
          <w:tcPr>
            <w:tcW w:w="1166"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209E3D3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2018</w:t>
            </w:r>
          </w:p>
        </w:tc>
        <w:tc>
          <w:tcPr>
            <w:tcW w:w="1291"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19F438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2017</w:t>
            </w:r>
          </w:p>
        </w:tc>
      </w:tr>
      <w:tr w:rsidR="003F6350" w:rsidRPr="003F6350" w14:paraId="0A51B10E" w14:textId="77777777" w:rsidTr="003F6350">
        <w:trPr>
          <w:trHeight w:val="183"/>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4E5FF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Sales/Revenue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C496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53,789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4D7D53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54,722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1B38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45,462</w:t>
            </w:r>
          </w:p>
        </w:tc>
      </w:tr>
      <w:tr w:rsidR="003F6350" w:rsidRPr="003F6350" w14:paraId="4C6C19F7" w14:textId="77777777" w:rsidTr="003F6350">
        <w:trPr>
          <w:trHeight w:val="273"/>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0223A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C1F898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-1.70%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EBC64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20.37%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2166A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17.97%</w:t>
            </w:r>
          </w:p>
        </w:tc>
      </w:tr>
      <w:tr w:rsidR="003F6350" w:rsidRPr="003F6350" w14:paraId="09DD374A" w14:textId="77777777" w:rsidTr="003F6350">
        <w:trPr>
          <w:trHeight w:val="147"/>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2D03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Cost of Goods Sold (COGS) incl. D&amp;A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EC3F7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38,097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4C46C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38,375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44D64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32,552</w:t>
            </w:r>
          </w:p>
        </w:tc>
      </w:tr>
      <w:tr w:rsidR="003F6350" w:rsidRPr="003F6350" w14:paraId="39E7F96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69ECF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excluding D&amp;A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78FB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35,520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51CA0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35,609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5BF608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29,674</w:t>
            </w:r>
          </w:p>
        </w:tc>
      </w:tr>
      <w:tr w:rsidR="003F6350" w:rsidRPr="003F6350" w14:paraId="3C895BED"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357F2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 &amp; Amortization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EFE22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2,577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C3E5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2,766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364F3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2,878</w:t>
            </w:r>
          </w:p>
        </w:tc>
      </w:tr>
      <w:tr w:rsidR="003F6350" w:rsidRPr="003F6350" w14:paraId="25B16DA6"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C986B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5BA79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2,253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D3895A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2,435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D327F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2,555</w:t>
            </w:r>
          </w:p>
        </w:tc>
      </w:tr>
      <w:tr w:rsidR="003F6350" w:rsidRPr="003F6350" w14:paraId="2CA98CD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C84C4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Amortization of Intangibles</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22100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ACD17F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1DF0B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323</w:t>
            </w:r>
          </w:p>
        </w:tc>
      </w:tr>
      <w:tr w:rsidR="003F6350" w:rsidRPr="003F6350" w14:paraId="3B47FDF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8C78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0178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-0.72%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861D0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17.89%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14B3F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10.42%</w:t>
            </w:r>
          </w:p>
        </w:tc>
      </w:tr>
      <w:tr w:rsidR="003F6350" w:rsidRPr="003F6350" w14:paraId="3766562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E5D4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20A2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15,692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F572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16,347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302E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12,910</w:t>
            </w:r>
          </w:p>
        </w:tc>
      </w:tr>
      <w:tr w:rsidR="003F6350" w:rsidRPr="003F6350" w14:paraId="7C5C4BB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C039F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FADA1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-4.01%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8CBEA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26.62%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7BE06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42.56%</w:t>
            </w:r>
          </w:p>
        </w:tc>
      </w:tr>
      <w:tr w:rsidR="003F6350" w:rsidRPr="003F6350" w14:paraId="5AA5FE2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D2BC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Profit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84F44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29.17%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9CDC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C9D2B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6896C52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146D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SG&amp;A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CAAAD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6,855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08D05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7,328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A2DC2C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6,841</w:t>
            </w:r>
          </w:p>
        </w:tc>
      </w:tr>
      <w:tr w:rsidR="003F6350" w:rsidRPr="003F6350" w14:paraId="0F6A1BB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15659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Research &amp; Development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E7538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7D58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1,850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BD33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1,842</w:t>
            </w:r>
          </w:p>
        </w:tc>
      </w:tr>
      <w:tr w:rsidR="003F6350" w:rsidRPr="003F6350" w14:paraId="705F746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4B5E3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SG&amp;A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E252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5,162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87591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710F2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4,999</w:t>
            </w:r>
          </w:p>
        </w:tc>
      </w:tr>
      <w:tr w:rsidR="003F6350" w:rsidRPr="003F6350" w14:paraId="6D1632C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00E86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DF64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-6.45%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0DEA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EB83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3.07%</w:t>
            </w:r>
          </w:p>
        </w:tc>
      </w:tr>
      <w:tr w:rsidR="003F6350" w:rsidRPr="003F6350" w14:paraId="764B93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A67C3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Operating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F8434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344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3A4AA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4E70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391</w:t>
            </w:r>
          </w:p>
        </w:tc>
      </w:tr>
      <w:tr w:rsidR="003F6350" w:rsidRPr="003F6350" w14:paraId="5E09CEC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74621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E51B3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5148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5709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5C80A01D"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4ED14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Unusual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BE9B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5EA0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460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312C6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1,145</w:t>
            </w:r>
          </w:p>
        </w:tc>
      </w:tr>
      <w:tr w:rsidR="003F6350" w:rsidRPr="003F6350" w14:paraId="7459856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8B63AF" w14:textId="77777777" w:rsidR="003F6350" w:rsidRPr="003F6350" w:rsidRDefault="003F6350" w:rsidP="003F6350">
            <w:pPr>
              <w:spacing w:after="0" w:line="240" w:lineRule="auto"/>
              <w:jc w:val="right"/>
              <w:rPr>
                <w:rFonts w:ascii="inherit" w:eastAsia="Times New Roman" w:hAnsi="inherit" w:cs="Arial"/>
                <w:color w:val="000000"/>
                <w:sz w:val="20"/>
                <w:szCs w:val="20"/>
              </w:rPr>
            </w:pPr>
            <w:proofErr w:type="spellStart"/>
            <w:proofErr w:type="gramStart"/>
            <w:r w:rsidRPr="003F6350">
              <w:rPr>
                <w:rFonts w:ascii="inherit" w:eastAsia="Times New Roman" w:hAnsi="inherit" w:cs="Arial"/>
                <w:color w:val="000000"/>
                <w:sz w:val="18"/>
                <w:szCs w:val="18"/>
                <w:bdr w:val="none" w:sz="0" w:space="0" w:color="auto" w:frame="1"/>
              </w:rPr>
              <w:t>Non Operating</w:t>
            </w:r>
            <w:proofErr w:type="spellEnd"/>
            <w:proofErr w:type="gramEnd"/>
            <w:r w:rsidRPr="003F6350">
              <w:rPr>
                <w:rFonts w:ascii="inherit" w:eastAsia="Times New Roman" w:hAnsi="inherit" w:cs="Arial"/>
                <w:color w:val="000000"/>
                <w:sz w:val="18"/>
                <w:szCs w:val="18"/>
                <w:bdr w:val="none" w:sz="0" w:space="0" w:color="auto" w:frame="1"/>
              </w:rPr>
              <w:t xml:space="preserve"> Income/Expense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7C00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32A6F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3D36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w:t>
            </w:r>
          </w:p>
        </w:tc>
      </w:tr>
      <w:tr w:rsidR="003F6350" w:rsidRPr="003F6350" w14:paraId="2082F2B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95EF72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Non-Operating Interest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3BE1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202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40A8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195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8B993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122</w:t>
            </w:r>
          </w:p>
        </w:tc>
      </w:tr>
      <w:tr w:rsidR="003F6350" w:rsidRPr="003F6350" w14:paraId="5D3011CF"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AA50A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891A68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AF29F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E9D22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7773C8A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2824C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1742A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3.99%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63E2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-23.18%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CFAAA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4.61%</w:t>
            </w:r>
          </w:p>
        </w:tc>
      </w:tr>
      <w:tr w:rsidR="003F6350" w:rsidRPr="003F6350" w14:paraId="401B7A3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E4B16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76083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2528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9D002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5B7C83B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2B48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Capitalized</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92A1E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59DE9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BCAE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0D85B3E6"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D597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712FD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7,812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9948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7,822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87103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4,082</w:t>
            </w:r>
          </w:p>
        </w:tc>
      </w:tr>
      <w:tr w:rsidR="003F6350" w:rsidRPr="003F6350" w14:paraId="1E7AAC4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532E9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2EF48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-0.13%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67B6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91.62%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C50C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2836.69%</w:t>
            </w:r>
          </w:p>
        </w:tc>
      </w:tr>
      <w:tr w:rsidR="003F6350" w:rsidRPr="003F6350" w14:paraId="284BC4C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32F20B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06E3E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14.52%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62AD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AAB0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5248C14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C949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1D73C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1,746</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AF0719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4279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3,339</w:t>
            </w:r>
          </w:p>
        </w:tc>
      </w:tr>
      <w:tr w:rsidR="003F6350" w:rsidRPr="003F6350" w14:paraId="530E0C0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2AFBD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Domestic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80CFC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4211C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AFF3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1,002</w:t>
            </w:r>
          </w:p>
        </w:tc>
      </w:tr>
      <w:tr w:rsidR="003F6350" w:rsidRPr="003F6350" w14:paraId="2355826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CF146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Foreign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203A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7B82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4F96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1,124</w:t>
            </w:r>
          </w:p>
        </w:tc>
      </w:tr>
      <w:tr w:rsidR="003F6350" w:rsidRPr="003F6350" w14:paraId="65073588"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77D84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Domestic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B0B3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ED6B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216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366D2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1,230</w:t>
            </w:r>
          </w:p>
        </w:tc>
      </w:tr>
      <w:tr w:rsidR="003F6350" w:rsidRPr="003F6350" w14:paraId="32EEE71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9D88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Foreign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8E993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98DD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6E92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w:t>
            </w:r>
          </w:p>
        </w:tc>
      </w:tr>
      <w:tr w:rsidR="003F6350" w:rsidRPr="003F6350" w14:paraId="4ECF74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243EC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Equity in Affiliates</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3889D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1994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53040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w:t>
            </w:r>
          </w:p>
        </w:tc>
      </w:tr>
      <w:tr w:rsidR="003F6350" w:rsidRPr="003F6350" w14:paraId="5F56E70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C30BB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Consolidated Net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A5459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6CAB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0D2BD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759</w:t>
            </w:r>
          </w:p>
        </w:tc>
      </w:tr>
      <w:tr w:rsidR="003F6350" w:rsidRPr="003F6350" w14:paraId="116E243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E9421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Minority 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9A65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366DD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21DE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w:t>
            </w:r>
          </w:p>
        </w:tc>
      </w:tr>
      <w:tr w:rsidR="003F6350" w:rsidRPr="003F6350" w14:paraId="14B2948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96F0F9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4B6F37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A8137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FFD5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6712619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F96E7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0EA5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-0.88%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F54E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715.25%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C15CC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1225.37%</w:t>
            </w:r>
          </w:p>
        </w:tc>
      </w:tr>
      <w:tr w:rsidR="003F6350" w:rsidRPr="003F6350" w14:paraId="636F701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36C96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D85A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11.33%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20CFD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D1D1E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4BAE36C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52C6AB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 xml:space="preserve">Net Income After </w:t>
            </w:r>
            <w:proofErr w:type="spellStart"/>
            <w:r w:rsidRPr="003F6350">
              <w:rPr>
                <w:rFonts w:ascii="inherit" w:eastAsia="Times New Roman" w:hAnsi="inherit" w:cs="Arial"/>
                <w:color w:val="000000"/>
                <w:sz w:val="18"/>
                <w:szCs w:val="18"/>
                <w:bdr w:val="none" w:sz="0" w:space="0" w:color="auto" w:frame="1"/>
              </w:rPr>
              <w:t>Extraordinaries</w:t>
            </w:r>
            <w:proofErr w:type="spellEnd"/>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06BD1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9096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F853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4B674A5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78A6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Available to Common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906CF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B0A1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2097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1AE5280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9B05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A2B23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FF97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682F2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6D3F46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43D9E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AF0248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9B54BD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714.29%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2B75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1245.45%</w:t>
            </w:r>
          </w:p>
        </w:tc>
      </w:tr>
      <w:tr w:rsidR="003F6350" w:rsidRPr="003F6350" w14:paraId="1F753B3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8E61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Basic Shares Outstanding</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4CD2D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4087F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0AD327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592</w:t>
            </w:r>
          </w:p>
        </w:tc>
      </w:tr>
      <w:tr w:rsidR="003F6350" w:rsidRPr="003F6350" w14:paraId="1FFF4A9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6CC9B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82BE6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CE6DE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59EDA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543CF2D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DCF5F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D4FB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C6A68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715.12%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EF95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1197.21%</w:t>
            </w:r>
          </w:p>
        </w:tc>
      </w:tr>
      <w:tr w:rsidR="003F6350" w:rsidRPr="003F6350" w14:paraId="48AF7DD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3E00F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Diluted Shares Outstanding</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B9020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8F22F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3CB9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r>
      <w:tr w:rsidR="003F6350" w:rsidRPr="003F6350" w14:paraId="3F580E7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F7BF26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0E597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11,070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8A14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11,434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4515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8,556</w:t>
            </w:r>
          </w:p>
        </w:tc>
      </w:tr>
      <w:tr w:rsidR="003F6350" w:rsidRPr="003F6350" w14:paraId="34E63AA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2F17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B520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-3.18%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9CA8A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33.64%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0020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66.20%</w:t>
            </w:r>
          </w:p>
        </w:tc>
      </w:tr>
      <w:tr w:rsidR="003F6350" w:rsidRPr="003F6350" w14:paraId="0114339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64A1E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A3420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20.58%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C29DCB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062D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3468D56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0B58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4C5F7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F7F0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C8260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bl>
    <w:p w14:paraId="34CED277"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F480FA6" w14:textId="77777777" w:rsidR="003F6350" w:rsidRDefault="003F6350" w:rsidP="003F6350">
      <w:pPr>
        <w:shd w:val="clear" w:color="auto" w:fill="FFFFFF"/>
        <w:spacing w:after="240" w:line="240" w:lineRule="auto"/>
        <w:rPr>
          <w:rFonts w:ascii="Arial" w:eastAsia="Times New Roman" w:hAnsi="Arial" w:cs="Arial"/>
          <w:color w:val="000000"/>
          <w:sz w:val="24"/>
          <w:szCs w:val="24"/>
        </w:rPr>
        <w:sectPr w:rsidR="003F6350" w:rsidSect="003F6350">
          <w:pgSz w:w="15840" w:h="12240" w:orient="landscape"/>
          <w:pgMar w:top="1440" w:right="1440" w:bottom="1440" w:left="1440" w:header="720" w:footer="720" w:gutter="0"/>
          <w:cols w:space="720"/>
          <w:docGrid w:linePitch="360"/>
        </w:sectPr>
      </w:pPr>
    </w:p>
    <w:p w14:paraId="7D6CEC1A" w14:textId="2D5920B2"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lastRenderedPageBreak/>
        <w:t xml:space="preserve">           Caterpillar Inc.’s operating and net profit margin increased over the </w:t>
      </w:r>
      <w:proofErr w:type="gramStart"/>
      <w:r w:rsidRPr="003F6350">
        <w:rPr>
          <w:rFonts w:ascii="Arial" w:eastAsia="Times New Roman" w:hAnsi="Arial" w:cs="Arial"/>
          <w:color w:val="000000"/>
          <w:sz w:val="24"/>
          <w:szCs w:val="24"/>
        </w:rPr>
        <w:t>3 year</w:t>
      </w:r>
      <w:proofErr w:type="gramEnd"/>
      <w:r w:rsidRPr="003F6350">
        <w:rPr>
          <w:rFonts w:ascii="Arial" w:eastAsia="Times New Roman" w:hAnsi="Arial" w:cs="Arial"/>
          <w:color w:val="000000"/>
          <w:sz w:val="24"/>
          <w:szCs w:val="24"/>
        </w:rPr>
        <w:t xml:space="preserve"> trend. </w:t>
      </w:r>
      <w:proofErr w:type="gramStart"/>
      <w:r w:rsidRPr="003F6350">
        <w:rPr>
          <w:rFonts w:ascii="Arial" w:eastAsia="Times New Roman" w:hAnsi="Arial" w:cs="Arial"/>
          <w:color w:val="000000"/>
          <w:sz w:val="24"/>
          <w:szCs w:val="24"/>
        </w:rPr>
        <w:t>However</w:t>
      </w:r>
      <w:proofErr w:type="gramEnd"/>
      <w:r w:rsidRPr="003F6350">
        <w:rPr>
          <w:rFonts w:ascii="Arial" w:eastAsia="Times New Roman" w:hAnsi="Arial" w:cs="Arial"/>
          <w:color w:val="000000"/>
          <w:sz w:val="24"/>
          <w:szCs w:val="24"/>
        </w:rPr>
        <w:t xml:space="preserve"> their gross profit margin although increased from 2017 to 2018 dropped in 2019. According to Yahoo finance, “The ongoing global economic uncertainty and slowdown in the manufacturing sector resulted in dealers reducing their inventories and impacted sales across all the three segments.” (Zacks, 2019). In 2018 the dealers increased their inventory of about $800 million and in 2019 had reduced it to $400 million.</w:t>
      </w:r>
    </w:p>
    <w:p w14:paraId="56AAAF95"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            Looking at the rest of their ratios, it </w:t>
      </w:r>
      <w:proofErr w:type="gramStart"/>
      <w:r w:rsidRPr="003F6350">
        <w:rPr>
          <w:rFonts w:ascii="Arial" w:eastAsia="Times New Roman" w:hAnsi="Arial" w:cs="Arial"/>
          <w:color w:val="000000"/>
          <w:sz w:val="24"/>
          <w:szCs w:val="24"/>
        </w:rPr>
        <w:t>seem</w:t>
      </w:r>
      <w:proofErr w:type="gramEnd"/>
      <w:r w:rsidRPr="003F6350">
        <w:rPr>
          <w:rFonts w:ascii="Arial" w:eastAsia="Times New Roman" w:hAnsi="Arial" w:cs="Arial"/>
          <w:color w:val="000000"/>
          <w:sz w:val="24"/>
          <w:szCs w:val="24"/>
        </w:rPr>
        <w:t xml:space="preserve"> to be consistent over the three years. During the third quarter of 2019, the company made a $1.5 billion discretionary pension contribution financed from proceeds of a debt issuance. This then put their operating cash flow to a negative of a $188 million. (Caterpillar.com, 2020). Caterpillar seems to be holding </w:t>
      </w:r>
      <w:proofErr w:type="spellStart"/>
      <w:proofErr w:type="gramStart"/>
      <w:r w:rsidRPr="003F6350">
        <w:rPr>
          <w:rFonts w:ascii="Arial" w:eastAsia="Times New Roman" w:hAnsi="Arial" w:cs="Arial"/>
          <w:color w:val="000000"/>
          <w:sz w:val="24"/>
          <w:szCs w:val="24"/>
        </w:rPr>
        <w:t>it’s</w:t>
      </w:r>
      <w:proofErr w:type="spellEnd"/>
      <w:proofErr w:type="gramEnd"/>
      <w:r w:rsidRPr="003F6350">
        <w:rPr>
          <w:rFonts w:ascii="Arial" w:eastAsia="Times New Roman" w:hAnsi="Arial" w:cs="Arial"/>
          <w:color w:val="000000"/>
          <w:sz w:val="24"/>
          <w:szCs w:val="24"/>
        </w:rPr>
        <w:t xml:space="preserve"> own even compared to other companies in the same industry. They may need to look at keeping costs extremely low and finding ways to promote more of their products to gain a higher gross profit than the years before.</w:t>
      </w:r>
    </w:p>
    <w:p w14:paraId="6D1ED6FF"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532AD5B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2D56C373"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7494DC0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0DCAF7A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8B912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0B4CEDC0"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Notes to the Financial Statements (Briana R)</w:t>
      </w:r>
    </w:p>
    <w:p w14:paraId="21498B0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Financial statements notes are also known or called the footnotes. They are an essential part of the financial statements as they assist the different users of the company’s financials in understanding them better that is notes help them understand the overall picture of the business's financial position. Footnotes help connect the information in the statement of income, statement of financial position, and cash flow statements together (Kadri, 2016). In other words, notes to the financial statements keep the three statements connected, and hence by not reading them, an individual will be missing very critical and vital information on the organization. Footnotes details and provides essential information that is not provided in the central ledger accounts. Footnotes to the financial statements help the accountants preparing the financial reports to summarize the reports for all the transactions are grouped and explained to the readers in the form of notes.</w:t>
      </w:r>
    </w:p>
    <w:p w14:paraId="1D67992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            Note to the financial statements are categorized into two, that is the accounting methods notes and the disclosure notes. Notes to the accounting methods pinpoint and expounds vital and primary accounting approach and policies that the business adopts. This section of the footnotes details the nature of the business that the Caterpillar organization engages in when the financial year of the Caterpillar Ltd </w:t>
      </w:r>
      <w:r w:rsidRPr="003F6350">
        <w:rPr>
          <w:rFonts w:ascii="Arial" w:eastAsia="Times New Roman" w:hAnsi="Arial" w:cs="Arial"/>
          <w:color w:val="000000"/>
          <w:sz w:val="24"/>
          <w:szCs w:val="24"/>
        </w:rPr>
        <w:lastRenderedPageBreak/>
        <w:t>begins and the end of the fiscal year; the accounting methods footnotes also details the inventory policies of the Caterpillar limited which helps the users understand how the inventory of the business is valued and recorded in the ledger (</w:t>
      </w: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et al., 2016). All the accounting policies and charges made on the same principle are explained to the users and readers of the business's financial reports. Accounting methods bring out the organization's financial health as it details all the business; hence, the reporting accounting officer can't take advantage and cook values to alter the profitability of the business. The notes on accounting policies adopted by the Caterpillar Ltd management assist the investors and other users of the reports in understanding them better as they explain the organization's principles on the depreciation of assets that is the method used to provide for the asset depreciation. The company also details how its values intangibles assets such as goodwill. The international reporting standards require that all the accounting policies be reviled and communicated in the financial reports.</w:t>
      </w:r>
    </w:p>
    <w:p w14:paraId="2A6B78E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Notes to financial statements provide information on succeeding or the subsequent events. Succeeding events, this is occurrences that take place after the balance sheet date but before the financial statements being published (</w:t>
      </w: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et al., 2016). All the unrecognized events are reported in the financial statements as footnotes. Notes on amalgamation or consolidation of all the financial reports by giving these notes, Caterpillar confirms that the financial statements include all its subsidiaries and branches.  </w:t>
      </w:r>
    </w:p>
    <w:p w14:paraId="780A5344"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Disclosure notes provide summarized information that is not captured on the financial reports of the Caterpillar Limited. The information provided makes the reports clean and very simple for the readers to understand and comprehend hence making it easy for one to assess the financial health of the business. To keep up with the neatness of the financial, the other calculation is made at the footnotes. A good example is, facts about the long-term liabilities such as loans interest rates, and the dates of maturity explain how Caterpillar's long-term liabilities are distributed (Kadri, 2016). The company also discloses the company's pension liability to the existing workforce and employees of the organization.</w:t>
      </w:r>
    </w:p>
    <w:p w14:paraId="3F2942A0"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Most of the investors pay a lot of attention to the statement of financial position, income statement, and the cash flow statements of the companies. But for no convincing reasons falls or even avoids reading the footnotes. By not reading the footnotes, the investors will omit substantial information that could have primarily helped them get more in-depth information on business financial health (Kadri, 2016). Regardless of how tedious and annoying it is, an investor should scrutinize and read all the financial statements without omitting footnotes as it makes one a better and informed investor.</w:t>
      </w:r>
    </w:p>
    <w:p w14:paraId="2CEDD5C2"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Overall Assessment of Company (Abi Hewett)</w:t>
      </w:r>
    </w:p>
    <w:p w14:paraId="3B2E40F4"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Caterpillar Inc. has existed for almost one hundred years operating through wars and economic hardship and providing equipment to construct some of the largest buildings and excavate the earth’s natural resources. A lengthy and relatively stable </w:t>
      </w:r>
      <w:r w:rsidRPr="003F6350">
        <w:rPr>
          <w:rFonts w:ascii="Arial" w:eastAsia="Times New Roman" w:hAnsi="Arial" w:cs="Arial"/>
          <w:color w:val="000000"/>
          <w:sz w:val="24"/>
          <w:szCs w:val="24"/>
        </w:rPr>
        <w:lastRenderedPageBreak/>
        <w:t xml:space="preserve">history in the market affords them leeway during a time of growth when debts may increase, or through a dip in sales and gross income. While they may not have performed as well as previous years, there is </w:t>
      </w:r>
      <w:proofErr w:type="spellStart"/>
      <w:r w:rsidRPr="003F6350">
        <w:rPr>
          <w:rFonts w:ascii="Arial" w:eastAsia="Times New Roman" w:hAnsi="Arial" w:cs="Arial"/>
          <w:color w:val="000000"/>
          <w:sz w:val="24"/>
          <w:szCs w:val="24"/>
        </w:rPr>
        <w:t>not</w:t>
      </w:r>
      <w:proofErr w:type="spellEnd"/>
      <w:r w:rsidRPr="003F6350">
        <w:rPr>
          <w:rFonts w:ascii="Arial" w:eastAsia="Times New Roman" w:hAnsi="Arial" w:cs="Arial"/>
          <w:color w:val="000000"/>
          <w:sz w:val="24"/>
          <w:szCs w:val="24"/>
        </w:rPr>
        <w:t xml:space="preserve"> indication of significant financial loss. Additionally, throughout 2019 Caterpillar Inc. outperformed expectations. During Q3 of 2019 Caterpillar Inc. outperformed Wall Street analyst expectations in areas such as revenue and profit per share (</w:t>
      </w:r>
      <w:r w:rsidRPr="003F6350">
        <w:rPr>
          <w:rFonts w:ascii="Arial" w:eastAsia="Times New Roman" w:hAnsi="Arial" w:cs="Arial"/>
          <w:i/>
          <w:iCs/>
          <w:color w:val="000000"/>
          <w:sz w:val="24"/>
          <w:szCs w:val="24"/>
        </w:rPr>
        <w:t>Caterpillar: 3Q Earnings Snapshot</w:t>
      </w:r>
      <w:r w:rsidRPr="003F6350">
        <w:rPr>
          <w:rFonts w:ascii="Arial" w:eastAsia="Times New Roman" w:hAnsi="Arial" w:cs="Arial"/>
          <w:color w:val="000000"/>
          <w:sz w:val="24"/>
          <w:szCs w:val="24"/>
        </w:rPr>
        <w:t>, 2019). Despite not performing quite as well as previous years, seeing areas such as gross income growth fall by 4.01% in 2019, Caterpillar Inc. still outperformed expectations. Though their overall growth was significantly less than previous years, Caterpillar Inc. did maintain growth in many areas.</w:t>
      </w:r>
    </w:p>
    <w:p w14:paraId="787EA36F"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Debt to equity ratio size varies by industry so comparing to similar functioning companies can be a firm indicator of position within the market. With a debt to equity ratio of 4.36 Caterpillar is four times greater than their closest competitor 3531 - Construction Machinery and Equipment holding a debt to equity ratio of 1.04 in 2019.  Recently Caterpillar Inc. has taken on a costly expansion of its Chicago offices to attract various technology talents to its digital team (</w:t>
      </w:r>
      <w:r w:rsidRPr="003F6350">
        <w:rPr>
          <w:rFonts w:ascii="Arial" w:eastAsia="Times New Roman" w:hAnsi="Arial" w:cs="Arial"/>
          <w:i/>
          <w:iCs/>
          <w:color w:val="000000"/>
          <w:sz w:val="24"/>
          <w:szCs w:val="24"/>
        </w:rPr>
        <w:t>Equipment company Caterpillar Inc. to expand in Chicago,</w:t>
      </w:r>
      <w:r w:rsidRPr="003F6350">
        <w:rPr>
          <w:rFonts w:ascii="Arial" w:eastAsia="Times New Roman" w:hAnsi="Arial" w:cs="Arial"/>
          <w:color w:val="000000"/>
          <w:sz w:val="24"/>
          <w:szCs w:val="24"/>
        </w:rPr>
        <w:t> 2019).  Any expansion be it in a physical production facility, or the growth of a software development or digital platform team can be an expensive expense for a company. Given that Caterpillar Inc. is expanding areas of its business it is unsurprising that their debt to equity ratio would increase, particularly if they were relying heavily on borrowing to expand this growth. While a company that relies on borrowing to expand may see an increase in earnings that exceed their borrowing, having a high debt to equity ratio is indicative of high risk.</w:t>
      </w:r>
    </w:p>
    <w:p w14:paraId="2D50CE83"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As discussed previously Caterpillar Inc. has taken the opportunity to expand areas of its business, particularly their digital team. The digital team expansion includes areas such as “software developers, data analysts, telecommunications experts and computer engineers,” (</w:t>
      </w:r>
      <w:r w:rsidRPr="003F6350">
        <w:rPr>
          <w:rFonts w:ascii="Arial" w:eastAsia="Times New Roman" w:hAnsi="Arial" w:cs="Arial"/>
          <w:i/>
          <w:iCs/>
          <w:color w:val="000000"/>
          <w:sz w:val="24"/>
          <w:szCs w:val="24"/>
        </w:rPr>
        <w:t>Equipment company Caterpillar Inc. to expand in Chicago</w:t>
      </w:r>
      <w:r w:rsidRPr="003F6350">
        <w:rPr>
          <w:rFonts w:ascii="Arial" w:eastAsia="Times New Roman" w:hAnsi="Arial" w:cs="Arial"/>
          <w:color w:val="000000"/>
          <w:sz w:val="24"/>
          <w:szCs w:val="24"/>
        </w:rPr>
        <w:t>, 2019). With technical advancements improving functions across every industry it is imperative that companies make a consistent effort improve their existing products, and innovate to create new, more precise, and efficient equipment. By expanding their digital team which includes computer engineers and software developers, Caterpillar Inc. can create more effective machines and lead the market in advancing construction technology. It is important that management within Caterpillar Inc. provide opportunity, funding, and support to their development teams to maintain a competitive presence.</w:t>
      </w:r>
    </w:p>
    <w:p w14:paraId="100F54B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            Caterpillar Inc. produces heavy machinery and equipment used in various forms of construction, demolition, and excavation. Due to the size and amount of material needed to produce these machines, Caterpillar Inc. is extremely sensitive to changes in their supply chains. Shortages in materials can greatly impact the number of machines they are able to produce and small increases in material costs can explode the cost of goods sold, reducing their gross profit. Additionally, due to the size of the </w:t>
      </w:r>
      <w:proofErr w:type="gramStart"/>
      <w:r w:rsidRPr="003F6350">
        <w:rPr>
          <w:rFonts w:ascii="Arial" w:eastAsia="Times New Roman" w:hAnsi="Arial" w:cs="Arial"/>
          <w:color w:val="000000"/>
          <w:sz w:val="24"/>
          <w:szCs w:val="24"/>
        </w:rPr>
        <w:t>machines</w:t>
      </w:r>
      <w:proofErr w:type="gramEnd"/>
      <w:r w:rsidRPr="003F6350">
        <w:rPr>
          <w:rFonts w:ascii="Arial" w:eastAsia="Times New Roman" w:hAnsi="Arial" w:cs="Arial"/>
          <w:color w:val="000000"/>
          <w:sz w:val="24"/>
          <w:szCs w:val="24"/>
        </w:rPr>
        <w:t xml:space="preserve"> storage costs can quickly reduce the products profits as well. As seen, there is a higher inventory turnover time than their competitors meaning that Caterpillar Inc. is storing their products longer increasing costs and lowering profits.</w:t>
      </w:r>
    </w:p>
    <w:p w14:paraId="373234F1"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lastRenderedPageBreak/>
        <w:t>References</w:t>
      </w:r>
    </w:p>
    <w:p w14:paraId="1C25E56F" w14:textId="77777777" w:rsidR="003F6350" w:rsidRPr="003F6350" w:rsidRDefault="003F6350" w:rsidP="003F6350">
      <w:pPr>
        <w:shd w:val="clear" w:color="auto" w:fill="FFFFFF"/>
        <w:spacing w:after="0" w:line="240" w:lineRule="auto"/>
        <w:ind w:left="720" w:hanging="720"/>
        <w:rPr>
          <w:rFonts w:ascii="Arial" w:eastAsia="Times New Roman" w:hAnsi="Arial" w:cs="Arial"/>
          <w:color w:val="000000"/>
          <w:sz w:val="24"/>
          <w:szCs w:val="24"/>
        </w:rPr>
      </w:pP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A., </w:t>
      </w:r>
      <w:proofErr w:type="spellStart"/>
      <w:r w:rsidRPr="003F6350">
        <w:rPr>
          <w:rFonts w:ascii="Arial" w:eastAsia="Times New Roman" w:hAnsi="Arial" w:cs="Arial"/>
          <w:color w:val="000000"/>
          <w:sz w:val="24"/>
          <w:szCs w:val="24"/>
        </w:rPr>
        <w:t>Panizzolo</w:t>
      </w:r>
      <w:proofErr w:type="spellEnd"/>
      <w:r w:rsidRPr="003F6350">
        <w:rPr>
          <w:rFonts w:ascii="Arial" w:eastAsia="Times New Roman" w:hAnsi="Arial" w:cs="Arial"/>
          <w:color w:val="000000"/>
          <w:sz w:val="24"/>
          <w:szCs w:val="24"/>
        </w:rPr>
        <w:t xml:space="preserve">, D., &amp; </w:t>
      </w:r>
      <w:proofErr w:type="spellStart"/>
      <w:r w:rsidRPr="003F6350">
        <w:rPr>
          <w:rFonts w:ascii="Arial" w:eastAsia="Times New Roman" w:hAnsi="Arial" w:cs="Arial"/>
          <w:color w:val="000000"/>
          <w:sz w:val="24"/>
          <w:szCs w:val="24"/>
        </w:rPr>
        <w:t>Metushi</w:t>
      </w:r>
      <w:proofErr w:type="spellEnd"/>
      <w:r w:rsidRPr="003F6350">
        <w:rPr>
          <w:rFonts w:ascii="Arial" w:eastAsia="Times New Roman" w:hAnsi="Arial" w:cs="Arial"/>
          <w:color w:val="000000"/>
          <w:sz w:val="24"/>
          <w:szCs w:val="24"/>
        </w:rPr>
        <w:t>, E. (2016). Financial reporting in XBRL: First evidence on financial statement notes of Italian unlisted companies. </w:t>
      </w:r>
      <w:r w:rsidRPr="003F6350">
        <w:rPr>
          <w:rFonts w:ascii="Arial" w:eastAsia="Times New Roman" w:hAnsi="Arial" w:cs="Arial"/>
          <w:i/>
          <w:iCs/>
          <w:color w:val="000000"/>
          <w:sz w:val="24"/>
          <w:szCs w:val="24"/>
        </w:rPr>
        <w:t>The International Journal of Digital Accounting Research</w:t>
      </w:r>
      <w:r w:rsidRPr="003F6350">
        <w:rPr>
          <w:rFonts w:ascii="Arial" w:eastAsia="Times New Roman" w:hAnsi="Arial" w:cs="Arial"/>
          <w:color w:val="000000"/>
          <w:sz w:val="24"/>
          <w:szCs w:val="24"/>
        </w:rPr>
        <w:t>, </w:t>
      </w:r>
      <w:r w:rsidRPr="003F6350">
        <w:rPr>
          <w:rFonts w:ascii="Arial" w:eastAsia="Times New Roman" w:hAnsi="Arial" w:cs="Arial"/>
          <w:i/>
          <w:iCs/>
          <w:color w:val="000000"/>
          <w:sz w:val="24"/>
          <w:szCs w:val="24"/>
        </w:rPr>
        <w:t>16</w:t>
      </w:r>
      <w:r w:rsidRPr="003F6350">
        <w:rPr>
          <w:rFonts w:ascii="Arial" w:eastAsia="Times New Roman" w:hAnsi="Arial" w:cs="Arial"/>
          <w:color w:val="000000"/>
          <w:sz w:val="24"/>
          <w:szCs w:val="24"/>
        </w:rPr>
        <w:t>, 85-115.</w:t>
      </w:r>
    </w:p>
    <w:p w14:paraId="74DF8BAB" w14:textId="77777777" w:rsidR="003F6350" w:rsidRPr="003F6350" w:rsidRDefault="003F6350" w:rsidP="003F6350">
      <w:pPr>
        <w:shd w:val="clear" w:color="auto" w:fill="FFFFFF"/>
        <w:spacing w:after="0" w:line="240" w:lineRule="auto"/>
        <w:ind w:left="720" w:hanging="720"/>
        <w:rPr>
          <w:rFonts w:ascii="Arial" w:eastAsia="Times New Roman" w:hAnsi="Arial" w:cs="Arial"/>
          <w:color w:val="000000"/>
          <w:sz w:val="24"/>
          <w:szCs w:val="24"/>
        </w:rPr>
      </w:pPr>
      <w:r w:rsidRPr="003F6350">
        <w:rPr>
          <w:rFonts w:ascii="Arial" w:eastAsia="Times New Roman" w:hAnsi="Arial" w:cs="Arial"/>
          <w:color w:val="000000"/>
          <w:sz w:val="24"/>
          <w:szCs w:val="24"/>
        </w:rPr>
        <w:t>Kadri, M. H. (2016, August). Islamic Financial Reporting: Evidence from Malaysia. In </w:t>
      </w:r>
      <w:r w:rsidRPr="003F6350">
        <w:rPr>
          <w:rFonts w:ascii="Arial" w:eastAsia="Times New Roman" w:hAnsi="Arial" w:cs="Arial"/>
          <w:i/>
          <w:iCs/>
          <w:color w:val="000000"/>
          <w:sz w:val="24"/>
          <w:szCs w:val="24"/>
        </w:rPr>
        <w:t xml:space="preserve">Kadri, </w:t>
      </w:r>
      <w:proofErr w:type="spellStart"/>
      <w:r w:rsidRPr="003F6350">
        <w:rPr>
          <w:rFonts w:ascii="Arial" w:eastAsia="Times New Roman" w:hAnsi="Arial" w:cs="Arial"/>
          <w:i/>
          <w:iCs/>
          <w:color w:val="000000"/>
          <w:sz w:val="24"/>
          <w:szCs w:val="24"/>
        </w:rPr>
        <w:t>Mohd</w:t>
      </w:r>
      <w:proofErr w:type="spellEnd"/>
      <w:r w:rsidRPr="003F6350">
        <w:rPr>
          <w:rFonts w:ascii="Arial" w:eastAsia="Times New Roman" w:hAnsi="Arial" w:cs="Arial"/>
          <w:i/>
          <w:iCs/>
          <w:color w:val="000000"/>
          <w:sz w:val="24"/>
          <w:szCs w:val="24"/>
        </w:rPr>
        <w:t xml:space="preserve"> </w:t>
      </w:r>
      <w:proofErr w:type="gramStart"/>
      <w:r w:rsidRPr="003F6350">
        <w:rPr>
          <w:rFonts w:ascii="Arial" w:eastAsia="Times New Roman" w:hAnsi="Arial" w:cs="Arial"/>
          <w:i/>
          <w:iCs/>
          <w:color w:val="000000"/>
          <w:sz w:val="24"/>
          <w:szCs w:val="24"/>
        </w:rPr>
        <w:t>Halim.(</w:t>
      </w:r>
      <w:proofErr w:type="gramEnd"/>
      <w:r w:rsidRPr="003F6350">
        <w:rPr>
          <w:rFonts w:ascii="Arial" w:eastAsia="Times New Roman" w:hAnsi="Arial" w:cs="Arial"/>
          <w:i/>
          <w:iCs/>
          <w:color w:val="000000"/>
          <w:sz w:val="24"/>
          <w:szCs w:val="24"/>
        </w:rPr>
        <w:t>2016). Islamic Financial Reporting: Evidence from Malaysia, Regional Islamic Entrepreneurship and Business Conference, Malaysia</w:t>
      </w:r>
      <w:r w:rsidRPr="003F6350">
        <w:rPr>
          <w:rFonts w:ascii="Arial" w:eastAsia="Times New Roman" w:hAnsi="Arial" w:cs="Arial"/>
          <w:color w:val="000000"/>
          <w:sz w:val="24"/>
          <w:szCs w:val="24"/>
        </w:rPr>
        <w:t> (pp. 9-10).</w:t>
      </w:r>
    </w:p>
    <w:p w14:paraId="3EFE0FBD"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33AE9FCD" w14:textId="77777777" w:rsidR="003F6350" w:rsidRPr="003F6350" w:rsidRDefault="003F6350" w:rsidP="003F6350">
      <w:pPr>
        <w:shd w:val="clear" w:color="auto" w:fill="FFFFFF"/>
        <w:spacing w:after="240" w:line="240" w:lineRule="auto"/>
        <w:ind w:left="567" w:hanging="567"/>
        <w:rPr>
          <w:rFonts w:ascii="Arial" w:eastAsia="Times New Roman" w:hAnsi="Arial" w:cs="Arial"/>
          <w:color w:val="000000"/>
          <w:sz w:val="24"/>
          <w:szCs w:val="24"/>
        </w:rPr>
      </w:pPr>
      <w:r w:rsidRPr="003F6350">
        <w:rPr>
          <w:rFonts w:ascii="Arial" w:eastAsia="Times New Roman" w:hAnsi="Arial" w:cs="Arial"/>
          <w:color w:val="000000"/>
          <w:sz w:val="24"/>
          <w:szCs w:val="24"/>
        </w:rPr>
        <w:t>CATERPILLAR INC. (n.d.). Retrieved August 20, 2020, from https://www.msn.com/en-us/money/stockdetails/nys-cat/fi-a1p7zr</w:t>
      </w:r>
    </w:p>
    <w:p w14:paraId="4D3542A7" w14:textId="77777777" w:rsidR="003F6350" w:rsidRPr="003F6350" w:rsidRDefault="003F6350" w:rsidP="003F6350">
      <w:pPr>
        <w:shd w:val="clear" w:color="auto" w:fill="FFFFFF"/>
        <w:spacing w:after="240" w:line="240" w:lineRule="auto"/>
        <w:ind w:left="567" w:hanging="567"/>
        <w:rPr>
          <w:rFonts w:ascii="Arial" w:eastAsia="Times New Roman" w:hAnsi="Arial" w:cs="Arial"/>
          <w:color w:val="000000"/>
          <w:sz w:val="24"/>
          <w:szCs w:val="24"/>
        </w:rPr>
      </w:pPr>
      <w:r w:rsidRPr="003F6350">
        <w:rPr>
          <w:rFonts w:ascii="Arial" w:eastAsia="Times New Roman" w:hAnsi="Arial" w:cs="Arial"/>
          <w:color w:val="000000"/>
          <w:sz w:val="24"/>
          <w:szCs w:val="24"/>
        </w:rPr>
        <w:t>Fraser, L. M., &amp; Ormiston, A. (2010). </w:t>
      </w:r>
      <w:r w:rsidRPr="003F6350">
        <w:rPr>
          <w:rFonts w:ascii="Arial" w:eastAsia="Times New Roman" w:hAnsi="Arial" w:cs="Arial"/>
          <w:i/>
          <w:iCs/>
          <w:color w:val="000000"/>
          <w:sz w:val="24"/>
          <w:szCs w:val="24"/>
        </w:rPr>
        <w:t>Understanding financial statements</w:t>
      </w:r>
      <w:r w:rsidRPr="003F6350">
        <w:rPr>
          <w:rFonts w:ascii="Arial" w:eastAsia="Times New Roman" w:hAnsi="Arial" w:cs="Arial"/>
          <w:color w:val="000000"/>
          <w:sz w:val="24"/>
          <w:szCs w:val="24"/>
        </w:rPr>
        <w:t>. Boston: Pearson.</w:t>
      </w:r>
    </w:p>
    <w:p w14:paraId="0F4AEFF1"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hyperlink r:id="rId6" w:history="1">
        <w:r w:rsidRPr="003F6350">
          <w:rPr>
            <w:rFonts w:ascii="inherit" w:eastAsia="Times New Roman" w:hAnsi="inherit" w:cs="Arial"/>
            <w:b/>
            <w:bCs/>
            <w:color w:val="1874A4"/>
            <w:sz w:val="20"/>
            <w:szCs w:val="20"/>
            <w:u w:val="single"/>
            <w:bdr w:val="none" w:sz="0" w:space="0" w:color="auto" w:frame="1"/>
          </w:rPr>
          <w:t>https://d18rn0p25nwr6d.cloudfront.net/CIK-0000018230/a6f9983a-f16b-4e2c-9d88-9aa832ea10e2.pdf</w:t>
        </w:r>
      </w:hyperlink>
    </w:p>
    <w:p w14:paraId="48E399E9"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hyperlink r:id="rId7" w:anchor="s49E21F95A66D5FBB8D8B70B8DCC4F8FD" w:history="1">
        <w:r w:rsidRPr="003F6350">
          <w:rPr>
            <w:rFonts w:ascii="inherit" w:eastAsia="Times New Roman" w:hAnsi="inherit" w:cs="Arial"/>
            <w:b/>
            <w:bCs/>
            <w:color w:val="1874A4"/>
            <w:sz w:val="20"/>
            <w:szCs w:val="20"/>
            <w:u w:val="single"/>
            <w:bdr w:val="none" w:sz="0" w:space="0" w:color="auto" w:frame="1"/>
          </w:rPr>
          <w:t>https://www.sec.gov/Archives/edgar/data/18230/000001823018000042/cat_10-kx12312017.htm#s49E21F95A66D5FBB8D8B70B8DCC4F8FD</w:t>
        </w:r>
      </w:hyperlink>
      <w:r w:rsidRPr="003F6350">
        <w:rPr>
          <w:rFonts w:ascii="inherit" w:eastAsia="Times New Roman" w:hAnsi="inherit" w:cs="Arial"/>
          <w:b/>
          <w:bCs/>
          <w:color w:val="000000"/>
          <w:sz w:val="24"/>
          <w:szCs w:val="24"/>
        </w:rPr>
        <w:t>   </w:t>
      </w:r>
    </w:p>
    <w:p w14:paraId="5E9463AC"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i/>
          <w:iCs/>
          <w:color w:val="333333"/>
          <w:sz w:val="24"/>
          <w:szCs w:val="24"/>
          <w:bdr w:val="none" w:sz="0" w:space="0" w:color="auto" w:frame="1"/>
        </w:rPr>
        <w:t>Caterpillar: 3Q Earnings Snapshot</w:t>
      </w:r>
      <w:r w:rsidRPr="003F6350">
        <w:rPr>
          <w:rFonts w:ascii="Times New Roman" w:eastAsia="Times New Roman" w:hAnsi="Times New Roman" w:cs="Times New Roman"/>
          <w:color w:val="333333"/>
          <w:sz w:val="24"/>
          <w:szCs w:val="24"/>
          <w:bdr w:val="none" w:sz="0" w:space="0" w:color="auto" w:frame="1"/>
        </w:rPr>
        <w:t>. (2018, October 23). https://apnews.com/ffd8995bbd7a9ef136228a8f4fa7894a</w:t>
      </w:r>
    </w:p>
    <w:p w14:paraId="7DC0AA20"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color w:val="000000"/>
          <w:sz w:val="20"/>
          <w:szCs w:val="20"/>
          <w:bdr w:val="none" w:sz="0" w:space="0" w:color="auto" w:frame="1"/>
        </w:rPr>
        <w:t> </w:t>
      </w:r>
    </w:p>
    <w:p w14:paraId="634B9C5D"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i/>
          <w:iCs/>
          <w:color w:val="333333"/>
          <w:sz w:val="24"/>
          <w:szCs w:val="24"/>
          <w:bdr w:val="none" w:sz="0" w:space="0" w:color="auto" w:frame="1"/>
        </w:rPr>
        <w:t>Equipment company Caterpillar Inc. to expand in Chicago</w:t>
      </w:r>
      <w:r w:rsidRPr="003F6350">
        <w:rPr>
          <w:rFonts w:ascii="Times New Roman" w:eastAsia="Times New Roman" w:hAnsi="Times New Roman" w:cs="Times New Roman"/>
          <w:color w:val="333333"/>
          <w:sz w:val="24"/>
          <w:szCs w:val="24"/>
          <w:bdr w:val="none" w:sz="0" w:space="0" w:color="auto" w:frame="1"/>
        </w:rPr>
        <w:t>. (2019, February 18). https://apnews.com/4ce718d985f4436eb0c04f5593ddf596</w:t>
      </w:r>
    </w:p>
    <w:p w14:paraId="66BA76AC"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Caterpillar. (2019, Oct. 23). Caterpillar reports third-quarter 2019 results. Retrieved from </w:t>
      </w:r>
      <w:hyperlink r:id="rId8" w:history="1">
        <w:r w:rsidRPr="003F6350">
          <w:rPr>
            <w:rFonts w:ascii="inherit" w:eastAsia="Times New Roman" w:hAnsi="inherit" w:cs="Arial"/>
            <w:color w:val="1874A4"/>
            <w:sz w:val="20"/>
            <w:szCs w:val="20"/>
            <w:u w:val="single"/>
            <w:bdr w:val="none" w:sz="0" w:space="0" w:color="auto" w:frame="1"/>
          </w:rPr>
          <w:t>https://investors.caterpillar.com/news/news-details/2019/Caterpillar-Reports-Third-Quarter-2019-Results/default.aspx</w:t>
        </w:r>
      </w:hyperlink>
    </w:p>
    <w:p w14:paraId="1A678AFD"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114BD1F9"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Zacks. (2019, Oct. 23). Caterpillar Lags Q3 earnings estimates, trims ’19 vies. Retrieved from </w:t>
      </w:r>
      <w:hyperlink r:id="rId9" w:history="1">
        <w:r w:rsidRPr="003F6350">
          <w:rPr>
            <w:rFonts w:ascii="inherit" w:eastAsia="Times New Roman" w:hAnsi="inherit" w:cs="Arial"/>
            <w:color w:val="1874A4"/>
            <w:sz w:val="20"/>
            <w:szCs w:val="20"/>
            <w:u w:val="single"/>
            <w:bdr w:val="none" w:sz="0" w:space="0" w:color="auto" w:frame="1"/>
          </w:rPr>
          <w:t>https://finance.yahoo.com/news/caterpillar-cat-lags-q3-earnings-143702468.html</w:t>
        </w:r>
      </w:hyperlink>
    </w:p>
    <w:p w14:paraId="24C2EA91"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4AD7D7D"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hyperlink r:id="rId10" w:history="1">
        <w:r w:rsidRPr="003F6350">
          <w:rPr>
            <w:rFonts w:ascii="inherit" w:eastAsia="Times New Roman" w:hAnsi="inherit" w:cs="Times New Roman"/>
            <w:color w:val="1874A4"/>
            <w:sz w:val="24"/>
            <w:szCs w:val="24"/>
            <w:u w:val="single"/>
            <w:bdr w:val="none" w:sz="0" w:space="0" w:color="auto" w:frame="1"/>
          </w:rPr>
          <w:t>https://www.wsj.com/market-data/quotes/CAT/financials/annual/balance-sheet</w:t>
        </w:r>
      </w:hyperlink>
    </w:p>
    <w:p w14:paraId="6EB402D1"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hyperlink r:id="rId11" w:history="1">
        <w:r w:rsidRPr="003F6350">
          <w:rPr>
            <w:rFonts w:ascii="inherit" w:eastAsia="Times New Roman" w:hAnsi="inherit" w:cs="Arial"/>
            <w:b/>
            <w:bCs/>
            <w:color w:val="1874A4"/>
            <w:sz w:val="20"/>
            <w:szCs w:val="20"/>
            <w:u w:val="single"/>
            <w:bdr w:val="none" w:sz="0" w:space="0" w:color="auto" w:frame="1"/>
          </w:rPr>
          <w:t>https://www.wsj.com/market-data/quotes/CAT/financials/annual/income-statement</w:t>
        </w:r>
      </w:hyperlink>
    </w:p>
    <w:p w14:paraId="0ADD0709"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hyperlink r:id="rId12" w:history="1">
        <w:r w:rsidRPr="003F6350">
          <w:rPr>
            <w:rFonts w:ascii="inherit" w:eastAsia="Times New Roman" w:hAnsi="inherit" w:cs="Times New Roman"/>
            <w:color w:val="1874A4"/>
            <w:sz w:val="24"/>
            <w:szCs w:val="24"/>
            <w:u w:val="single"/>
            <w:bdr w:val="none" w:sz="0" w:space="0" w:color="auto" w:frame="1"/>
          </w:rPr>
          <w:t>https://www.macrotrends.net/stocks/charts/CAT/caterpillar/financial-ratios</w:t>
        </w:r>
      </w:hyperlink>
    </w:p>
    <w:p w14:paraId="71394A57" w14:textId="77777777" w:rsidR="003F6350" w:rsidRDefault="003F6350"/>
    <w:sectPr w:rsidR="003F63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50"/>
    <w:rsid w:val="001224B8"/>
    <w:rsid w:val="003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65AC"/>
  <w15:chartTrackingRefBased/>
  <w15:docId w15:val="{690413F8-284D-499B-874F-E15764E3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750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ors.caterpillar.com/news/news-details/2019/Caterpillar-Reports-Third-Quarter-2019-Results/default.asp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ec.gov/Archives/edgar/data/18230/000001823018000042/cat_10-kx12312017.htm" TargetMode="External"/><Relationship Id="rId12" Type="http://schemas.openxmlformats.org/officeDocument/2006/relationships/hyperlink" Target="https://www.macrotrends.net/stocks/charts/CAT/caterpillar/financial-rati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18rn0p25nwr6d.cloudfront.net/CIK-0000018230/a6f9983a-f16b-4e2c-9d88-9aa832ea10e2.pdf" TargetMode="External"/><Relationship Id="rId11" Type="http://schemas.openxmlformats.org/officeDocument/2006/relationships/hyperlink" Target="https://www.wsj.com/market-data/quotes/CAT/financials/annual/income-statement" TargetMode="External"/><Relationship Id="rId5" Type="http://schemas.openxmlformats.org/officeDocument/2006/relationships/hyperlink" Target="https://www.macrotrends.net/stocks/charts/CAT/caterpillar/financial-ratios" TargetMode="External"/><Relationship Id="rId10" Type="http://schemas.openxmlformats.org/officeDocument/2006/relationships/hyperlink" Target="https://www.wsj.com/market-data/quotes/CAT/financials/annual/balance-sheet" TargetMode="External"/><Relationship Id="rId4" Type="http://schemas.openxmlformats.org/officeDocument/2006/relationships/hyperlink" Target="https://www.caterpillar.com/en/company.html" TargetMode="External"/><Relationship Id="rId9" Type="http://schemas.openxmlformats.org/officeDocument/2006/relationships/hyperlink" Target="https://finance.yahoo.com/news/caterpillar-cat-lags-q3-earnings-14370246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4058</Words>
  <Characters>23134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 Buchanan</dc:creator>
  <cp:keywords/>
  <dc:description/>
  <cp:lastModifiedBy>Bri Buchanan</cp:lastModifiedBy>
  <cp:revision>1</cp:revision>
  <dcterms:created xsi:type="dcterms:W3CDTF">2020-08-21T16:53:00Z</dcterms:created>
  <dcterms:modified xsi:type="dcterms:W3CDTF">2020-08-21T17:04:00Z</dcterms:modified>
</cp:coreProperties>
</file>